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241015" w14:textId="77777777" w:rsidR="00B52467" w:rsidRPr="0086255B" w:rsidRDefault="00B52467" w:rsidP="00B52467">
      <w:pPr>
        <w:pStyle w:val="Normal127"/>
        <w:tabs>
          <w:tab w:val="clear" w:pos="720"/>
          <w:tab w:val="clear" w:pos="1440"/>
          <w:tab w:val="clear" w:pos="1797"/>
          <w:tab w:val="left" w:pos="2410"/>
        </w:tabs>
        <w:spacing w:before="120"/>
        <w:ind w:left="0"/>
        <w:rPr>
          <w:rFonts w:asciiTheme="minorHAnsi" w:hAnsiTheme="minorHAnsi" w:cstheme="minorHAnsi"/>
          <w:b/>
          <w:sz w:val="22"/>
          <w:szCs w:val="22"/>
        </w:rPr>
      </w:pPr>
      <w:r w:rsidRPr="0086255B">
        <w:rPr>
          <w:rFonts w:asciiTheme="minorHAnsi" w:hAnsiTheme="minorHAnsi" w:cstheme="minorHAnsi"/>
          <w:b/>
          <w:sz w:val="22"/>
          <w:szCs w:val="22"/>
        </w:rPr>
        <w:t>Obrazac 2b - Obrazac o dodatnim podacima o šemama regionalne pomoći za ulaganja</w:t>
      </w:r>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350"/>
      </w:tblGrid>
      <w:tr w:rsidR="00B52467" w:rsidRPr="0086255B" w14:paraId="37D53831" w14:textId="77777777" w:rsidTr="00D507D9">
        <w:trPr>
          <w:jc w:val="center"/>
        </w:trPr>
        <w:tc>
          <w:tcPr>
            <w:tcW w:w="5000" w:type="pct"/>
            <w:tcBorders>
              <w:top w:val="single" w:sz="4" w:space="0" w:color="auto"/>
              <w:bottom w:val="single" w:sz="4" w:space="0" w:color="auto"/>
            </w:tcBorders>
            <w:shd w:val="pct15" w:color="auto" w:fill="FFFFFF"/>
          </w:tcPr>
          <w:p w14:paraId="5889C19B" w14:textId="77777777" w:rsidR="00B52467" w:rsidRPr="0086255B" w:rsidRDefault="00B52467" w:rsidP="00D507D9">
            <w:pPr>
              <w:keepNext/>
              <w:keepLines/>
              <w:spacing w:before="120" w:after="120"/>
              <w:jc w:val="both"/>
              <w:outlineLvl w:val="1"/>
              <w:rPr>
                <w:rFonts w:eastAsia="Times New Roman" w:cstheme="minorHAnsi"/>
                <w:b/>
                <w:bCs/>
                <w:lang w:val="hr-HR" w:eastAsia="hr-HR" w:bidi="hr-HR"/>
              </w:rPr>
            </w:pPr>
            <w:bookmarkStart w:id="0" w:name="_Toc414370356"/>
            <w:bookmarkStart w:id="1" w:name="_Toc416949008"/>
            <w:r w:rsidRPr="0086255B">
              <w:rPr>
                <w:rFonts w:eastAsia="Times New Roman" w:cstheme="minorHAnsi"/>
                <w:b/>
                <w:bCs/>
                <w:lang w:val="hr-HR" w:eastAsia="hr-HR" w:bidi="hr-HR"/>
              </w:rPr>
              <w:t>DIO III.1.B. Obrazac o dodatnim podacima o programima regionalne pomoći za ulaganja</w:t>
            </w:r>
            <w:bookmarkEnd w:id="0"/>
            <w:bookmarkEnd w:id="1"/>
          </w:p>
        </w:tc>
      </w:tr>
    </w:tbl>
    <w:p w14:paraId="09D98453" w14:textId="77777777" w:rsidR="00B52467" w:rsidRPr="0086255B" w:rsidRDefault="00B52467" w:rsidP="00B52467">
      <w:pPr>
        <w:spacing w:before="120" w:after="120"/>
        <w:jc w:val="both"/>
        <w:rPr>
          <w:rFonts w:cstheme="minorHAnsi"/>
          <w:i/>
          <w:lang w:val="hr-HR" w:eastAsia="hr-HR" w:bidi="hr-HR"/>
        </w:rPr>
      </w:pPr>
      <w:r w:rsidRPr="0086255B">
        <w:rPr>
          <w:rFonts w:cstheme="minorHAnsi"/>
          <w:i/>
          <w:lang w:val="hr-HR" w:eastAsia="hr-HR" w:bidi="hr-HR"/>
        </w:rPr>
        <w:t>Ovaj obrazac o dodatnim podacima  nije obavezan. Međutim, preporučuje se da se ispuni zajedno sa obrascem sa opštim podacima za prijavljivanje individualnih pomoći za ulaganje koje su obuhvaćene Smjernicama za regionalnu državnu pomoć koje se primjenjuju od 1.januara 2022.(„RAG“) </w:t>
      </w:r>
      <w:r w:rsidRPr="0086255B">
        <w:rPr>
          <w:rStyle w:val="FootnoteReference"/>
          <w:rFonts w:cstheme="minorHAnsi"/>
          <w:i/>
        </w:rPr>
        <w:footnoteReference w:id="1"/>
      </w:r>
      <w:r w:rsidRPr="0086255B">
        <w:rPr>
          <w:rFonts w:cstheme="minorHAnsi"/>
          <w:i/>
          <w:lang w:val="hr-HR" w:eastAsia="hr-HR" w:bidi="hr-HR"/>
        </w:rPr>
        <w:t>.</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350"/>
      </w:tblGrid>
      <w:tr w:rsidR="00B52467" w:rsidRPr="0086255B" w14:paraId="7C145466" w14:textId="77777777" w:rsidTr="00D507D9">
        <w:tc>
          <w:tcPr>
            <w:tcW w:w="5000" w:type="pct"/>
            <w:tcBorders>
              <w:top w:val="single" w:sz="4" w:space="0" w:color="auto"/>
              <w:bottom w:val="single" w:sz="4" w:space="0" w:color="auto"/>
            </w:tcBorders>
            <w:shd w:val="pct15" w:color="auto" w:fill="FFFFFF"/>
          </w:tcPr>
          <w:p w14:paraId="78B6136E" w14:textId="77777777" w:rsidR="00B52467" w:rsidRPr="0086255B" w:rsidRDefault="00B52467" w:rsidP="00B52467">
            <w:pPr>
              <w:keepNext/>
              <w:numPr>
                <w:ilvl w:val="0"/>
                <w:numId w:val="1"/>
              </w:numPr>
              <w:tabs>
                <w:tab w:val="clear" w:pos="360"/>
              </w:tabs>
              <w:spacing w:before="120" w:after="120" w:line="240" w:lineRule="auto"/>
              <w:ind w:left="0" w:firstLine="0"/>
              <w:jc w:val="both"/>
              <w:outlineLvl w:val="3"/>
              <w:rPr>
                <w:rFonts w:eastAsia="Times New Roman" w:cstheme="minorHAnsi"/>
                <w:b/>
                <w:bCs/>
                <w:iCs/>
                <w:lang w:val="hr-HR" w:eastAsia="hr-HR" w:bidi="hr-HR"/>
              </w:rPr>
            </w:pPr>
            <w:r w:rsidRPr="0086255B">
              <w:rPr>
                <w:rFonts w:eastAsia="Times New Roman" w:cstheme="minorHAnsi"/>
                <w:b/>
                <w:bCs/>
                <w:iCs/>
                <w:lang w:val="hr-HR" w:eastAsia="hr-HR" w:bidi="hr-HR"/>
              </w:rPr>
              <w:t>Područje primjene</w:t>
            </w:r>
          </w:p>
        </w:tc>
      </w:tr>
    </w:tbl>
    <w:p w14:paraId="32F6CD8F" w14:textId="77777777" w:rsidR="00B52467" w:rsidRPr="0086255B" w:rsidRDefault="00B52467" w:rsidP="00B52467">
      <w:pPr>
        <w:numPr>
          <w:ilvl w:val="1"/>
          <w:numId w:val="2"/>
        </w:numPr>
        <w:spacing w:before="120" w:after="120" w:line="240" w:lineRule="auto"/>
        <w:ind w:left="360" w:hanging="360"/>
        <w:jc w:val="both"/>
        <w:rPr>
          <w:rFonts w:eastAsia="Times New Roman" w:cstheme="minorHAnsi"/>
          <w:lang w:val="hr-HR" w:eastAsia="hr-HR" w:bidi="hr-HR"/>
        </w:rPr>
      </w:pPr>
      <w:r w:rsidRPr="0086255B">
        <w:rPr>
          <w:rFonts w:eastAsia="Times New Roman" w:cstheme="minorHAnsi"/>
          <w:lang w:val="hr-HR" w:eastAsia="hr-HR" w:bidi="hr-HR"/>
        </w:rPr>
        <w:t xml:space="preserve"> Razlozi prijavljivanja šema umjesto njenog sprovođenja u okviru Regulative o opštem grupnom izuzeću („GBER”)</w:t>
      </w:r>
      <w:r w:rsidRPr="0086255B">
        <w:rPr>
          <w:rStyle w:val="FootnoteReference"/>
          <w:rFonts w:cstheme="minorHAnsi"/>
        </w:rPr>
        <w:footnoteReference w:id="2"/>
      </w:r>
      <w:r w:rsidRPr="0086255B">
        <w:rPr>
          <w:rFonts w:eastAsia="Times New Roman" w:cstheme="minorHAnsi"/>
          <w:lang w:val="hr-HR" w:eastAsia="hr-HR" w:bidi="hr-HR"/>
        </w:rPr>
        <w:t xml:space="preserve"> ili Regulative o </w:t>
      </w:r>
      <w:r w:rsidRPr="0086255B">
        <w:rPr>
          <w:rFonts w:eastAsia="Times New Roman" w:cstheme="minorHAnsi"/>
          <w:i/>
          <w:lang w:val="hr-HR" w:eastAsia="hr-HR" w:bidi="hr-HR"/>
        </w:rPr>
        <w:t>de minimis</w:t>
      </w:r>
      <w:r w:rsidRPr="0086255B">
        <w:rPr>
          <w:rFonts w:eastAsia="Times New Roman" w:cstheme="minorHAnsi"/>
          <w:lang w:val="hr-HR" w:eastAsia="hr-HR" w:bidi="hr-HR"/>
        </w:rPr>
        <w:t xml:space="preserve"> pomoći</w:t>
      </w:r>
      <w:r w:rsidRPr="0086255B">
        <w:rPr>
          <w:rStyle w:val="FootnoteReference"/>
          <w:rFonts w:cstheme="minorHAnsi"/>
        </w:rPr>
        <w:footnoteReference w:id="3"/>
      </w:r>
      <w:r w:rsidRPr="0086255B">
        <w:rPr>
          <w:rFonts w:eastAsia="Times New Roman" w:cstheme="minorHAnsi"/>
          <w:lang w:val="hr-HR" w:eastAsia="hr-HR" w:bidi="hr-HR"/>
        </w:rPr>
        <w:t>:</w:t>
      </w:r>
    </w:p>
    <w:p w14:paraId="4138AE35" w14:textId="77777777" w:rsidR="00B52467" w:rsidRPr="0086255B" w:rsidRDefault="00B52467" w:rsidP="00B52467">
      <w:pPr>
        <w:numPr>
          <w:ilvl w:val="0"/>
          <w:numId w:val="9"/>
        </w:numPr>
        <w:spacing w:before="120" w:after="120" w:line="240" w:lineRule="auto"/>
        <w:jc w:val="both"/>
        <w:rPr>
          <w:rFonts w:eastAsia="Times New Roman" w:cstheme="minorHAnsi"/>
          <w:lang w:val="hr-HR" w:eastAsia="hr-HR" w:bidi="hr-HR"/>
        </w:rPr>
      </w:pPr>
      <w:r w:rsidRPr="0086255B">
        <w:rPr>
          <w:rFonts w:eastAsia="Times New Roman" w:cstheme="minorHAnsi"/>
          <w:lang w:val="hr-HR" w:eastAsia="hr-HR" w:bidi="hr-HR"/>
        </w:rPr>
        <w:fldChar w:fldCharType="begin">
          <w:ffData>
            <w:name w:val="Check1"/>
            <w:enabled/>
            <w:calcOnExit w:val="0"/>
            <w:checkBox>
              <w:sizeAuto/>
              <w:default w:val="0"/>
            </w:checkBox>
          </w:ffData>
        </w:fldChar>
      </w:r>
      <w:r w:rsidRPr="0086255B">
        <w:rPr>
          <w:rFonts w:eastAsia="Times New Roman" w:cstheme="minorHAnsi"/>
          <w:lang w:val="hr-HR" w:eastAsia="hr-HR" w:bidi="hr-HR"/>
        </w:rPr>
        <w:instrText xml:space="preserve"> FORMCHECKBOX </w:instrText>
      </w:r>
      <w:r>
        <w:rPr>
          <w:rFonts w:eastAsia="Times New Roman" w:cstheme="minorHAnsi"/>
          <w:lang w:val="hr-HR" w:eastAsia="hr-HR" w:bidi="hr-HR"/>
        </w:rPr>
      </w:r>
      <w:r>
        <w:rPr>
          <w:rFonts w:eastAsia="Times New Roman" w:cstheme="minorHAnsi"/>
          <w:lang w:val="hr-HR" w:eastAsia="hr-HR" w:bidi="hr-HR"/>
        </w:rPr>
        <w:fldChar w:fldCharType="separate"/>
      </w:r>
      <w:r w:rsidRPr="0086255B">
        <w:rPr>
          <w:rFonts w:eastAsia="Times New Roman" w:cstheme="minorHAnsi"/>
          <w:lang w:val="hr-HR" w:eastAsia="hr-HR" w:bidi="hr-HR"/>
        </w:rPr>
        <w:fldChar w:fldCharType="end"/>
      </w:r>
      <w:r w:rsidRPr="0086255B">
        <w:rPr>
          <w:rFonts w:eastAsia="Times New Roman" w:cstheme="minorHAnsi"/>
          <w:lang w:val="hr-HR" w:eastAsia="hr-HR" w:bidi="hr-HR"/>
        </w:rPr>
        <w:tab/>
      </w:r>
      <w:r>
        <w:rPr>
          <w:rFonts w:eastAsia="Times New Roman" w:cstheme="minorHAnsi"/>
          <w:lang w:val="hr-HR" w:eastAsia="hr-HR" w:bidi="hr-HR"/>
        </w:rPr>
        <w:t xml:space="preserve"> </w:t>
      </w:r>
      <w:r w:rsidRPr="0086255B">
        <w:rPr>
          <w:rFonts w:eastAsia="Times New Roman" w:cstheme="minorHAnsi"/>
          <w:lang w:val="hr-HR" w:eastAsia="hr-HR" w:bidi="hr-HR"/>
        </w:rPr>
        <w:t>Prijava je povezana sa sektorskom šemom. U tom slučaju, navedite sektor obuhvaćen šemom (oznaka NACE):</w:t>
      </w:r>
    </w:p>
    <w:p w14:paraId="367FF721" w14:textId="77777777" w:rsidR="00B52467" w:rsidRPr="0086255B" w:rsidRDefault="00B52467" w:rsidP="00B52467">
      <w:pPr>
        <w:tabs>
          <w:tab w:val="left" w:leader="dot" w:pos="9072"/>
        </w:tabs>
        <w:spacing w:before="120" w:after="120"/>
        <w:jc w:val="both"/>
        <w:rPr>
          <w:rFonts w:cstheme="minorHAnsi"/>
          <w:noProof/>
        </w:rPr>
      </w:pPr>
      <w:r w:rsidRPr="0086255B">
        <w:rPr>
          <w:rFonts w:cstheme="minorHAnsi"/>
          <w:noProof/>
        </w:rPr>
        <w:tab/>
      </w:r>
    </w:p>
    <w:p w14:paraId="66387897" w14:textId="77777777" w:rsidR="00B52467" w:rsidRPr="0086255B" w:rsidRDefault="00B52467" w:rsidP="00B52467">
      <w:pPr>
        <w:numPr>
          <w:ilvl w:val="0"/>
          <w:numId w:val="9"/>
        </w:numPr>
        <w:spacing w:before="120" w:after="120" w:line="240" w:lineRule="auto"/>
        <w:jc w:val="both"/>
        <w:rPr>
          <w:rFonts w:eastAsia="Times New Roman" w:cstheme="minorHAnsi"/>
          <w:lang w:val="hr-HR" w:eastAsia="hr-HR" w:bidi="hr-HR"/>
        </w:rPr>
      </w:pPr>
      <w:r w:rsidRPr="0086255B">
        <w:rPr>
          <w:rFonts w:eastAsia="Times New Roman" w:cstheme="minorHAnsi"/>
          <w:lang w:val="hr-HR" w:eastAsia="hr-HR" w:bidi="hr-HR"/>
        </w:rPr>
        <w:fldChar w:fldCharType="begin">
          <w:ffData>
            <w:name w:val="Check1"/>
            <w:enabled/>
            <w:calcOnExit w:val="0"/>
            <w:checkBox>
              <w:sizeAuto/>
              <w:default w:val="0"/>
            </w:checkBox>
          </w:ffData>
        </w:fldChar>
      </w:r>
      <w:r w:rsidRPr="0086255B">
        <w:rPr>
          <w:rFonts w:eastAsia="Times New Roman" w:cstheme="minorHAnsi"/>
          <w:lang w:val="hr-HR" w:eastAsia="hr-HR" w:bidi="hr-HR"/>
        </w:rPr>
        <w:instrText xml:space="preserve"> FORMCHECKBOX </w:instrText>
      </w:r>
      <w:r>
        <w:rPr>
          <w:rFonts w:eastAsia="Times New Roman" w:cstheme="minorHAnsi"/>
          <w:lang w:val="hr-HR" w:eastAsia="hr-HR" w:bidi="hr-HR"/>
        </w:rPr>
      </w:r>
      <w:r>
        <w:rPr>
          <w:rFonts w:eastAsia="Times New Roman" w:cstheme="minorHAnsi"/>
          <w:lang w:val="hr-HR" w:eastAsia="hr-HR" w:bidi="hr-HR"/>
        </w:rPr>
        <w:fldChar w:fldCharType="separate"/>
      </w:r>
      <w:r w:rsidRPr="0086255B">
        <w:rPr>
          <w:rFonts w:eastAsia="Times New Roman" w:cstheme="minorHAnsi"/>
          <w:lang w:val="hr-HR" w:eastAsia="hr-HR" w:bidi="hr-HR"/>
        </w:rPr>
        <w:fldChar w:fldCharType="end"/>
      </w:r>
      <w:r w:rsidRPr="0086255B">
        <w:rPr>
          <w:rFonts w:eastAsia="Times New Roman" w:cstheme="minorHAnsi"/>
          <w:lang w:val="hr-HR" w:eastAsia="hr-HR" w:bidi="hr-HR"/>
        </w:rPr>
        <w:tab/>
      </w:r>
      <w:r>
        <w:rPr>
          <w:rFonts w:eastAsia="Times New Roman" w:cstheme="minorHAnsi"/>
          <w:lang w:val="hr-HR" w:eastAsia="hr-HR" w:bidi="hr-HR"/>
        </w:rPr>
        <w:t xml:space="preserve"> </w:t>
      </w:r>
      <w:r w:rsidRPr="0086255B">
        <w:rPr>
          <w:rFonts w:eastAsia="Times New Roman" w:cstheme="minorHAnsi"/>
          <w:lang w:val="hr-HR" w:eastAsia="hr-HR" w:bidi="hr-HR"/>
        </w:rPr>
        <w:t>Ostalo. Navedite:</w:t>
      </w:r>
    </w:p>
    <w:p w14:paraId="1F771D43" w14:textId="77777777" w:rsidR="00B52467" w:rsidRPr="0086255B" w:rsidRDefault="00B52467" w:rsidP="00B52467">
      <w:pPr>
        <w:tabs>
          <w:tab w:val="left" w:leader="dot" w:pos="9072"/>
        </w:tabs>
        <w:spacing w:before="120" w:after="120"/>
        <w:jc w:val="both"/>
        <w:rPr>
          <w:rFonts w:cstheme="minorHAnsi"/>
          <w:noProof/>
        </w:rPr>
      </w:pPr>
      <w:r w:rsidRPr="0086255B">
        <w:rPr>
          <w:rFonts w:cstheme="minorHAnsi"/>
          <w:noProof/>
        </w:rPr>
        <w:tab/>
      </w:r>
    </w:p>
    <w:p w14:paraId="37AA561A" w14:textId="77777777" w:rsidR="00B52467" w:rsidRPr="0086255B" w:rsidRDefault="00B52467" w:rsidP="00B52467">
      <w:pPr>
        <w:numPr>
          <w:ilvl w:val="1"/>
          <w:numId w:val="2"/>
        </w:numPr>
        <w:tabs>
          <w:tab w:val="left" w:pos="720"/>
          <w:tab w:val="left" w:pos="1077"/>
          <w:tab w:val="left" w:pos="1440"/>
          <w:tab w:val="left" w:pos="1797"/>
        </w:tabs>
        <w:spacing w:before="120" w:after="120" w:line="240" w:lineRule="auto"/>
        <w:ind w:left="0" w:firstLine="0"/>
        <w:jc w:val="both"/>
        <w:rPr>
          <w:rFonts w:eastAsia="Times New Roman" w:cstheme="minorHAnsi"/>
          <w:b/>
          <w:lang w:val="hr-HR" w:eastAsia="hr-HR" w:bidi="hr-HR"/>
        </w:rPr>
      </w:pPr>
      <w:r w:rsidRPr="0086255B">
        <w:rPr>
          <w:rFonts w:eastAsia="Times New Roman" w:cstheme="minorHAnsi"/>
          <w:b/>
          <w:lang w:val="hr-HR" w:eastAsia="hr-HR" w:bidi="hr-HR"/>
        </w:rPr>
        <w:t xml:space="preserve"> Područje primjene prijavljene šeme</w:t>
      </w:r>
    </w:p>
    <w:p w14:paraId="1CB5F738" w14:textId="77777777" w:rsidR="00B52467" w:rsidRPr="0086255B" w:rsidRDefault="00B52467" w:rsidP="00B52467">
      <w:pPr>
        <w:numPr>
          <w:ilvl w:val="2"/>
          <w:numId w:val="2"/>
        </w:numPr>
        <w:spacing w:before="120" w:after="120" w:line="240" w:lineRule="auto"/>
        <w:ind w:left="720" w:hanging="720"/>
        <w:jc w:val="both"/>
        <w:rPr>
          <w:rFonts w:eastAsia="Times New Roman" w:cstheme="minorHAnsi"/>
          <w:bCs/>
          <w:lang w:val="hr-HR" w:eastAsia="hr-HR" w:bidi="hr-HR"/>
        </w:rPr>
      </w:pPr>
      <w:r w:rsidRPr="0086255B">
        <w:rPr>
          <w:rFonts w:eastAsia="Times New Roman" w:cstheme="minorHAnsi"/>
          <w:bCs/>
          <w:lang w:val="hr-HR" w:eastAsia="hr-HR" w:bidi="hr-HR"/>
        </w:rPr>
        <w:t>Potvrdite da je pravnom osnovom prijavljene šeme predviđena obaveza da se individualna pomoć dodijeljena korisniku prijavi Komisiji ako pomoć iz svih izvora prelazi prag za prijavu utvrđen u Regulativi o opštem grupnom izuzeću („GBER“) za regionalnu pomoć za ulaganje (tačka 22 RAG-a).</w:t>
      </w:r>
    </w:p>
    <w:p w14:paraId="0BD9D5AC" w14:textId="77777777" w:rsidR="00B52467" w:rsidRPr="0086255B" w:rsidRDefault="00B52467" w:rsidP="00B52467">
      <w:pPr>
        <w:spacing w:before="120" w:after="120"/>
        <w:ind w:left="360"/>
        <w:jc w:val="both"/>
        <w:rPr>
          <w:rFonts w:eastAsia="Times New Roman" w:cstheme="minorHAnsi"/>
          <w:bCs/>
          <w:lang w:val="hr-HR" w:eastAsia="hr-HR" w:bidi="hr-HR"/>
        </w:rPr>
      </w:pPr>
      <w:r w:rsidRPr="0086255B">
        <w:rPr>
          <w:rFonts w:eastAsia="Times New Roman" w:cstheme="minorHAnsi"/>
          <w:bCs/>
          <w:lang w:val="hr-HR" w:eastAsia="hr-HR" w:bidi="hr-HR"/>
        </w:rPr>
        <w:t xml:space="preserve">Navedite upućivanje na odgovarajuće odredbe pravnog osnova: </w:t>
      </w:r>
    </w:p>
    <w:p w14:paraId="3EE6CF0C" w14:textId="77777777" w:rsidR="00B52467" w:rsidRPr="0086255B" w:rsidRDefault="00B52467" w:rsidP="00B52467">
      <w:pPr>
        <w:tabs>
          <w:tab w:val="left" w:leader="dot" w:pos="9072"/>
        </w:tabs>
        <w:spacing w:before="120" w:after="120"/>
        <w:jc w:val="both"/>
        <w:rPr>
          <w:rFonts w:cstheme="minorHAnsi"/>
          <w:lang w:val="hr-HR" w:eastAsia="hr-HR" w:bidi="hr-HR"/>
        </w:rPr>
      </w:pPr>
      <w:r w:rsidRPr="0086255B">
        <w:rPr>
          <w:rFonts w:cstheme="minorHAnsi"/>
          <w:lang w:val="hr-HR" w:eastAsia="hr-HR" w:bidi="hr-HR"/>
        </w:rPr>
        <w:t>..................................................................................................................................................................</w:t>
      </w:r>
    </w:p>
    <w:p w14:paraId="37A1D59A" w14:textId="77777777" w:rsidR="00B52467" w:rsidRPr="0086255B" w:rsidRDefault="00B52467" w:rsidP="00B52467">
      <w:pPr>
        <w:numPr>
          <w:ilvl w:val="2"/>
          <w:numId w:val="2"/>
        </w:numPr>
        <w:spacing w:before="120" w:after="120" w:line="240" w:lineRule="auto"/>
        <w:ind w:left="720" w:hanging="720"/>
        <w:jc w:val="both"/>
        <w:rPr>
          <w:rFonts w:eastAsia="Times New Roman" w:cstheme="minorHAnsi"/>
          <w:bCs/>
          <w:lang w:val="hr-HR" w:eastAsia="hr-HR" w:bidi="hr-HR"/>
        </w:rPr>
      </w:pPr>
      <w:r w:rsidRPr="0086255B">
        <w:rPr>
          <w:rFonts w:eastAsia="Times New Roman" w:cstheme="minorHAnsi"/>
          <w:bCs/>
          <w:lang w:val="hr-HR" w:eastAsia="hr-HR" w:bidi="hr-HR"/>
        </w:rPr>
        <w:t>Potvrdite da pravnom osnovom prijavljene šeme predviđena obaveza obavještavanja Komisije o pojedinačnoj pomoći korisniku, osim u sljedećim slučajevima: (1) ako je potvrđeno da u dvije godine prije podnošenja zahtjeva za pomoć nije izvršeno premještanje u poslovnu jedinicu u kojoj će se sprovesti početno ulaganje i (2) ako se korisnik obavezao da neće izvršiti takvo premještanje u periodu od dvije godine nakon završetka početnog ulaganja (tačka 23 RAG-a).</w:t>
      </w:r>
    </w:p>
    <w:p w14:paraId="568C5168" w14:textId="77777777" w:rsidR="00B52467" w:rsidRPr="0086255B" w:rsidRDefault="00B52467" w:rsidP="00B52467">
      <w:pPr>
        <w:numPr>
          <w:ilvl w:val="2"/>
          <w:numId w:val="2"/>
        </w:numPr>
        <w:spacing w:before="120" w:after="120" w:line="240" w:lineRule="auto"/>
        <w:ind w:left="720" w:hanging="720"/>
        <w:jc w:val="both"/>
        <w:rPr>
          <w:rFonts w:eastAsia="Times New Roman" w:cstheme="minorHAnsi"/>
          <w:bCs/>
          <w:lang w:val="hr-HR" w:eastAsia="hr-HR" w:bidi="hr-HR"/>
        </w:rPr>
      </w:pPr>
      <w:r w:rsidRPr="0086255B">
        <w:rPr>
          <w:rFonts w:eastAsia="Times New Roman" w:cstheme="minorHAnsi"/>
          <w:bCs/>
          <w:lang w:val="hr-HR" w:eastAsia="hr-HR" w:bidi="hr-HR"/>
        </w:rPr>
        <w:t>Navedite upućivanje na odgovarajuće odredbe pravnog osnova:</w:t>
      </w:r>
    </w:p>
    <w:p w14:paraId="601BE22A" w14:textId="77777777" w:rsidR="00B52467" w:rsidRPr="0086255B" w:rsidRDefault="00B52467" w:rsidP="00B52467">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28C047DD" w14:textId="77777777" w:rsidR="00B52467" w:rsidRPr="0086255B" w:rsidRDefault="00B52467" w:rsidP="00B52467">
      <w:pPr>
        <w:numPr>
          <w:ilvl w:val="2"/>
          <w:numId w:val="2"/>
        </w:numPr>
        <w:spacing w:before="120" w:after="120" w:line="240" w:lineRule="auto"/>
        <w:ind w:left="720" w:hanging="720"/>
        <w:jc w:val="both"/>
        <w:rPr>
          <w:rFonts w:eastAsia="Times New Roman" w:cstheme="minorHAnsi"/>
          <w:bCs/>
          <w:lang w:val="hr-HR" w:eastAsia="hr-HR" w:bidi="hr-HR"/>
        </w:rPr>
      </w:pPr>
      <w:r w:rsidRPr="0086255B">
        <w:rPr>
          <w:rFonts w:eastAsia="Times New Roman" w:cstheme="minorHAnsi"/>
          <w:bCs/>
          <w:lang w:val="hr-HR" w:eastAsia="hr-HR" w:bidi="hr-HR"/>
        </w:rPr>
        <w:t>Potvrdite da je prijavljenom šemom pomoći predviđeno da se regionalna pomoć za ulaganja neće dodjeljivati kategorijama trgovačkih društava i sektorima navedenim u nastavku. U svakom slučaju navedite odgovarajuću odredbu pravnog osnova šeme pomoći.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4"/>
        <w:gridCol w:w="4841"/>
        <w:gridCol w:w="2939"/>
        <w:gridCol w:w="522"/>
      </w:tblGrid>
      <w:tr w:rsidR="00B52467" w:rsidRPr="0086255B" w14:paraId="02B5A6F7" w14:textId="77777777" w:rsidTr="00D507D9">
        <w:trPr>
          <w:gridBefore w:val="1"/>
          <w:gridAfter w:val="1"/>
          <w:wBefore w:w="714" w:type="dxa"/>
          <w:wAfter w:w="522" w:type="dxa"/>
          <w:trHeight w:val="831"/>
        </w:trPr>
        <w:tc>
          <w:tcPr>
            <w:tcW w:w="4841" w:type="dxa"/>
            <w:shd w:val="clear" w:color="auto" w:fill="auto"/>
          </w:tcPr>
          <w:p w14:paraId="7391C49F" w14:textId="77777777" w:rsidR="00B52467" w:rsidRPr="0086255B" w:rsidRDefault="00B52467" w:rsidP="00D507D9">
            <w:pPr>
              <w:keepNext/>
              <w:tabs>
                <w:tab w:val="num" w:pos="360"/>
              </w:tabs>
              <w:spacing w:before="120" w:after="120"/>
              <w:jc w:val="both"/>
              <w:rPr>
                <w:rFonts w:eastAsia="Times New Roman" w:cstheme="minorHAnsi"/>
                <w:b/>
                <w:bCs/>
                <w:lang w:val="hr-HR" w:eastAsia="hr-HR" w:bidi="hr-HR"/>
              </w:rPr>
            </w:pPr>
            <w:r w:rsidRPr="0086255B">
              <w:rPr>
                <w:rFonts w:eastAsia="Times New Roman" w:cstheme="minorHAnsi"/>
                <w:b/>
                <w:bCs/>
                <w:lang w:val="hr-HR" w:eastAsia="hr-HR" w:bidi="hr-HR"/>
              </w:rPr>
              <w:lastRenderedPageBreak/>
              <w:t>Izuzete kategorije kompanija i sektora</w:t>
            </w:r>
          </w:p>
        </w:tc>
        <w:tc>
          <w:tcPr>
            <w:tcW w:w="2939" w:type="dxa"/>
            <w:shd w:val="clear" w:color="auto" w:fill="auto"/>
          </w:tcPr>
          <w:p w14:paraId="3A30F1B6" w14:textId="77777777" w:rsidR="00B52467" w:rsidRPr="0086255B" w:rsidRDefault="00B52467" w:rsidP="00D507D9">
            <w:pPr>
              <w:keepNext/>
              <w:tabs>
                <w:tab w:val="num" w:pos="360"/>
              </w:tabs>
              <w:spacing w:before="120" w:after="120"/>
              <w:jc w:val="both"/>
              <w:rPr>
                <w:rFonts w:eastAsia="Times New Roman" w:cstheme="minorHAnsi"/>
                <w:b/>
                <w:bCs/>
                <w:lang w:val="hr-HR" w:eastAsia="hr-HR" w:bidi="hr-HR"/>
              </w:rPr>
            </w:pPr>
            <w:r w:rsidRPr="0086255B">
              <w:rPr>
                <w:rFonts w:eastAsia="Times New Roman" w:cstheme="minorHAnsi"/>
                <w:b/>
                <w:bCs/>
                <w:lang w:val="hr-HR" w:eastAsia="hr-HR" w:bidi="hr-HR"/>
              </w:rPr>
              <w:t>Odgovarajuća odredba pravnog osnova šeme pomoći</w:t>
            </w:r>
          </w:p>
        </w:tc>
      </w:tr>
      <w:tr w:rsidR="00B52467" w:rsidRPr="0086255B" w14:paraId="54EF0B2B" w14:textId="77777777" w:rsidTr="00D507D9">
        <w:trPr>
          <w:gridBefore w:val="1"/>
          <w:gridAfter w:val="1"/>
          <w:wBefore w:w="714" w:type="dxa"/>
          <w:wAfter w:w="522" w:type="dxa"/>
          <w:trHeight w:val="498"/>
        </w:trPr>
        <w:tc>
          <w:tcPr>
            <w:tcW w:w="4841" w:type="dxa"/>
            <w:shd w:val="clear" w:color="auto" w:fill="auto"/>
          </w:tcPr>
          <w:p w14:paraId="0DD30F06" w14:textId="77777777" w:rsidR="00B52467" w:rsidRPr="0086255B" w:rsidRDefault="00B52467" w:rsidP="00D507D9">
            <w:pPr>
              <w:keepNext/>
              <w:tabs>
                <w:tab w:val="num" w:pos="360"/>
              </w:tabs>
              <w:spacing w:before="120" w:after="120"/>
              <w:jc w:val="both"/>
              <w:rPr>
                <w:rFonts w:eastAsia="Times New Roman" w:cstheme="minorHAnsi"/>
                <w:bCs/>
                <w:lang w:val="hr-HR" w:eastAsia="hr-HR" w:bidi="hr-HR"/>
              </w:rPr>
            </w:pPr>
            <w:r w:rsidRPr="0086255B">
              <w:rPr>
                <w:rFonts w:eastAsia="Times New Roman" w:cstheme="minorHAnsi"/>
                <w:bCs/>
                <w:lang w:val="hr-HR" w:eastAsia="hr-HR" w:bidi="hr-HR"/>
              </w:rPr>
              <w:t>Privredna društva u poteškoćama</w:t>
            </w:r>
            <w:r w:rsidRPr="0086255B">
              <w:rPr>
                <w:rStyle w:val="FootnoteReference"/>
                <w:rFonts w:cstheme="minorHAnsi"/>
                <w:bCs/>
              </w:rPr>
              <w:footnoteReference w:id="4"/>
            </w:r>
          </w:p>
        </w:tc>
        <w:tc>
          <w:tcPr>
            <w:tcW w:w="2939" w:type="dxa"/>
            <w:shd w:val="clear" w:color="auto" w:fill="auto"/>
          </w:tcPr>
          <w:p w14:paraId="74F422FC" w14:textId="77777777" w:rsidR="00B52467" w:rsidRPr="0086255B" w:rsidRDefault="00B52467" w:rsidP="00D507D9">
            <w:pPr>
              <w:keepNext/>
              <w:tabs>
                <w:tab w:val="num" w:pos="360"/>
              </w:tabs>
              <w:spacing w:before="120" w:after="120"/>
              <w:jc w:val="both"/>
              <w:rPr>
                <w:rFonts w:eastAsia="Times New Roman" w:cstheme="minorHAnsi"/>
                <w:bCs/>
                <w:lang w:val="hr-HR" w:eastAsia="hr-HR" w:bidi="hr-HR"/>
              </w:rPr>
            </w:pPr>
          </w:p>
        </w:tc>
      </w:tr>
      <w:tr w:rsidR="00B52467" w:rsidRPr="0086255B" w14:paraId="0FAF881C" w14:textId="77777777" w:rsidTr="00D507D9">
        <w:trPr>
          <w:gridBefore w:val="1"/>
          <w:gridAfter w:val="1"/>
          <w:wBefore w:w="714" w:type="dxa"/>
          <w:wAfter w:w="522" w:type="dxa"/>
          <w:trHeight w:val="514"/>
        </w:trPr>
        <w:tc>
          <w:tcPr>
            <w:tcW w:w="4841" w:type="dxa"/>
            <w:shd w:val="clear" w:color="auto" w:fill="auto"/>
          </w:tcPr>
          <w:p w14:paraId="718C4091" w14:textId="77777777" w:rsidR="00B52467" w:rsidRPr="0086255B" w:rsidRDefault="00B52467" w:rsidP="00D507D9">
            <w:pPr>
              <w:tabs>
                <w:tab w:val="num" w:pos="360"/>
              </w:tabs>
              <w:spacing w:before="120" w:after="120"/>
              <w:jc w:val="both"/>
              <w:rPr>
                <w:rFonts w:eastAsia="Times New Roman" w:cstheme="minorHAnsi"/>
                <w:bCs/>
                <w:lang w:val="hr-HR" w:eastAsia="hr-HR" w:bidi="hr-HR"/>
              </w:rPr>
            </w:pPr>
            <w:r w:rsidRPr="0086255B">
              <w:rPr>
                <w:rFonts w:eastAsia="Times New Roman" w:cstheme="minorHAnsi"/>
                <w:bCs/>
                <w:lang w:val="hr-HR" w:eastAsia="hr-HR" w:bidi="hr-HR"/>
              </w:rPr>
              <w:t>Sektor čelika</w:t>
            </w:r>
            <w:r w:rsidRPr="0086255B">
              <w:rPr>
                <w:rStyle w:val="FootnoteReference"/>
                <w:rFonts w:cstheme="minorHAnsi"/>
                <w:bCs/>
              </w:rPr>
              <w:footnoteReference w:id="5"/>
            </w:r>
          </w:p>
        </w:tc>
        <w:tc>
          <w:tcPr>
            <w:tcW w:w="2939" w:type="dxa"/>
            <w:shd w:val="clear" w:color="auto" w:fill="auto"/>
          </w:tcPr>
          <w:p w14:paraId="2C95F39D" w14:textId="77777777" w:rsidR="00B52467" w:rsidRPr="0086255B" w:rsidRDefault="00B52467" w:rsidP="00D507D9">
            <w:pPr>
              <w:tabs>
                <w:tab w:val="num" w:pos="360"/>
              </w:tabs>
              <w:spacing w:before="120" w:after="120"/>
              <w:jc w:val="both"/>
              <w:rPr>
                <w:rFonts w:eastAsia="Times New Roman" w:cstheme="minorHAnsi"/>
                <w:bCs/>
                <w:lang w:val="hr-HR" w:eastAsia="hr-HR" w:bidi="hr-HR"/>
              </w:rPr>
            </w:pPr>
          </w:p>
        </w:tc>
      </w:tr>
      <w:tr w:rsidR="00B52467" w:rsidRPr="0086255B" w14:paraId="46FDAD01" w14:textId="77777777" w:rsidTr="00D507D9">
        <w:trPr>
          <w:gridBefore w:val="1"/>
          <w:gridAfter w:val="1"/>
          <w:wBefore w:w="714" w:type="dxa"/>
          <w:wAfter w:w="522" w:type="dxa"/>
          <w:trHeight w:val="514"/>
        </w:trPr>
        <w:tc>
          <w:tcPr>
            <w:tcW w:w="4841" w:type="dxa"/>
            <w:shd w:val="clear" w:color="auto" w:fill="auto"/>
          </w:tcPr>
          <w:p w14:paraId="5C0544E1" w14:textId="77777777" w:rsidR="00B52467" w:rsidRPr="0086255B" w:rsidRDefault="00B52467" w:rsidP="00D507D9">
            <w:pPr>
              <w:tabs>
                <w:tab w:val="num" w:pos="360"/>
              </w:tabs>
              <w:spacing w:before="120" w:after="120"/>
              <w:jc w:val="both"/>
              <w:rPr>
                <w:rFonts w:eastAsia="Times New Roman" w:cstheme="minorHAnsi"/>
                <w:bCs/>
                <w:lang w:val="hr-HR" w:eastAsia="hr-HR" w:bidi="hr-HR"/>
              </w:rPr>
            </w:pPr>
            <w:r w:rsidRPr="0086255B">
              <w:rPr>
                <w:rFonts w:eastAsia="Times New Roman" w:cstheme="minorHAnsi"/>
                <w:bCs/>
                <w:lang w:val="hr-HR" w:eastAsia="hr-HR" w:bidi="hr-HR"/>
              </w:rPr>
              <w:t>Sektor lignita</w:t>
            </w:r>
            <w:r w:rsidRPr="0086255B">
              <w:rPr>
                <w:rStyle w:val="FootnoteReference"/>
                <w:rFonts w:cstheme="minorHAnsi"/>
                <w:bCs/>
              </w:rPr>
              <w:footnoteReference w:id="6"/>
            </w:r>
          </w:p>
        </w:tc>
        <w:tc>
          <w:tcPr>
            <w:tcW w:w="2939" w:type="dxa"/>
            <w:shd w:val="clear" w:color="auto" w:fill="auto"/>
          </w:tcPr>
          <w:p w14:paraId="51305A1B" w14:textId="77777777" w:rsidR="00B52467" w:rsidRPr="0086255B" w:rsidRDefault="00B52467" w:rsidP="00D507D9">
            <w:pPr>
              <w:tabs>
                <w:tab w:val="num" w:pos="360"/>
              </w:tabs>
              <w:spacing w:before="120" w:after="120"/>
              <w:jc w:val="both"/>
              <w:rPr>
                <w:rFonts w:eastAsia="Times New Roman" w:cstheme="minorHAnsi"/>
                <w:bCs/>
                <w:lang w:val="hr-HR" w:eastAsia="hr-HR" w:bidi="hr-HR"/>
              </w:rPr>
            </w:pPr>
          </w:p>
        </w:tc>
      </w:tr>
      <w:tr w:rsidR="00B52467" w:rsidRPr="0086255B" w14:paraId="49622BA1" w14:textId="77777777" w:rsidTr="00D507D9">
        <w:trPr>
          <w:gridBefore w:val="1"/>
          <w:gridAfter w:val="1"/>
          <w:wBefore w:w="714" w:type="dxa"/>
          <w:wAfter w:w="522" w:type="dxa"/>
          <w:trHeight w:val="498"/>
        </w:trPr>
        <w:tc>
          <w:tcPr>
            <w:tcW w:w="4841" w:type="dxa"/>
            <w:shd w:val="clear" w:color="auto" w:fill="auto"/>
          </w:tcPr>
          <w:p w14:paraId="0CE2C81F" w14:textId="77777777" w:rsidR="00B52467" w:rsidRPr="0086255B" w:rsidRDefault="00B52467" w:rsidP="00D507D9">
            <w:pPr>
              <w:tabs>
                <w:tab w:val="num" w:pos="360"/>
              </w:tabs>
              <w:spacing w:before="120" w:after="120"/>
              <w:jc w:val="both"/>
              <w:rPr>
                <w:rFonts w:eastAsia="Times New Roman" w:cstheme="minorHAnsi"/>
                <w:bCs/>
                <w:lang w:val="hr-HR" w:eastAsia="hr-HR" w:bidi="hr-HR"/>
              </w:rPr>
            </w:pPr>
            <w:r w:rsidRPr="0086255B">
              <w:rPr>
                <w:rFonts w:eastAsia="Times New Roman" w:cstheme="minorHAnsi"/>
                <w:bCs/>
                <w:lang w:val="hr-HR" w:eastAsia="hr-HR" w:bidi="hr-HR"/>
              </w:rPr>
              <w:t>Sektor uglja</w:t>
            </w:r>
            <w:r w:rsidRPr="0086255B">
              <w:rPr>
                <w:rStyle w:val="FootnoteReference"/>
                <w:rFonts w:eastAsia="Times New Roman" w:cstheme="minorHAnsi"/>
                <w:bCs/>
                <w:lang w:val="hr-HR" w:eastAsia="hr-HR" w:bidi="hr-HR"/>
              </w:rPr>
              <w:footnoteReference w:id="7"/>
            </w:r>
          </w:p>
        </w:tc>
        <w:tc>
          <w:tcPr>
            <w:tcW w:w="2939" w:type="dxa"/>
            <w:shd w:val="clear" w:color="auto" w:fill="auto"/>
          </w:tcPr>
          <w:p w14:paraId="73240F0C" w14:textId="77777777" w:rsidR="00B52467" w:rsidRPr="0086255B" w:rsidRDefault="00B52467" w:rsidP="00D507D9">
            <w:pPr>
              <w:tabs>
                <w:tab w:val="num" w:pos="360"/>
              </w:tabs>
              <w:spacing w:before="120" w:after="120"/>
              <w:jc w:val="both"/>
              <w:rPr>
                <w:rFonts w:eastAsia="Times New Roman" w:cstheme="minorHAnsi"/>
                <w:bCs/>
                <w:lang w:val="hr-HR" w:eastAsia="hr-HR" w:bidi="hr-HR"/>
              </w:rPr>
            </w:pPr>
          </w:p>
        </w:tc>
      </w:tr>
      <w:tr w:rsidR="00B52467" w:rsidRPr="0086255B" w14:paraId="2B6C0D5E" w14:textId="77777777" w:rsidTr="00D507D9">
        <w:trPr>
          <w:gridBefore w:val="1"/>
          <w:gridAfter w:val="1"/>
          <w:wBefore w:w="714" w:type="dxa"/>
          <w:wAfter w:w="522" w:type="dxa"/>
          <w:trHeight w:val="514"/>
        </w:trPr>
        <w:tc>
          <w:tcPr>
            <w:tcW w:w="4841" w:type="dxa"/>
            <w:shd w:val="clear" w:color="auto" w:fill="auto"/>
          </w:tcPr>
          <w:p w14:paraId="5630AB75" w14:textId="77777777" w:rsidR="00B52467" w:rsidRPr="0086255B" w:rsidRDefault="00B52467" w:rsidP="00D507D9">
            <w:pPr>
              <w:tabs>
                <w:tab w:val="num" w:pos="360"/>
              </w:tabs>
              <w:spacing w:before="120" w:after="120"/>
              <w:jc w:val="both"/>
              <w:rPr>
                <w:rFonts w:eastAsia="Times New Roman" w:cstheme="minorHAnsi"/>
                <w:bCs/>
                <w:lang w:val="hr-HR" w:eastAsia="hr-HR" w:bidi="hr-HR"/>
              </w:rPr>
            </w:pPr>
            <w:r w:rsidRPr="0086255B">
              <w:rPr>
                <w:rFonts w:eastAsia="Times New Roman" w:cstheme="minorHAnsi"/>
                <w:bCs/>
                <w:lang w:val="hr-HR" w:eastAsia="hr-HR" w:bidi="hr-HR"/>
              </w:rPr>
              <w:t>Ribarstvo i akvakultura</w:t>
            </w:r>
            <w:r w:rsidRPr="0086255B">
              <w:rPr>
                <w:rStyle w:val="FootnoteReference"/>
                <w:rFonts w:eastAsia="Times New Roman" w:cstheme="minorHAnsi"/>
                <w:bCs/>
                <w:lang w:val="hr-HR" w:eastAsia="hr-HR" w:bidi="hr-HR"/>
              </w:rPr>
              <w:footnoteReference w:id="8"/>
            </w:r>
          </w:p>
        </w:tc>
        <w:tc>
          <w:tcPr>
            <w:tcW w:w="2939" w:type="dxa"/>
            <w:shd w:val="clear" w:color="auto" w:fill="auto"/>
          </w:tcPr>
          <w:p w14:paraId="242E9DE5" w14:textId="77777777" w:rsidR="00B52467" w:rsidRPr="0086255B" w:rsidRDefault="00B52467" w:rsidP="00D507D9">
            <w:pPr>
              <w:tabs>
                <w:tab w:val="num" w:pos="360"/>
              </w:tabs>
              <w:spacing w:before="120" w:after="120"/>
              <w:jc w:val="both"/>
              <w:rPr>
                <w:rFonts w:eastAsia="Times New Roman" w:cstheme="minorHAnsi"/>
                <w:bCs/>
                <w:lang w:val="hr-HR" w:eastAsia="hr-HR" w:bidi="hr-HR"/>
              </w:rPr>
            </w:pPr>
          </w:p>
        </w:tc>
      </w:tr>
      <w:tr w:rsidR="00B52467" w:rsidRPr="0086255B" w14:paraId="54B6D734" w14:textId="77777777" w:rsidTr="00D507D9">
        <w:trPr>
          <w:gridBefore w:val="1"/>
          <w:gridAfter w:val="1"/>
          <w:wBefore w:w="714" w:type="dxa"/>
          <w:wAfter w:w="522" w:type="dxa"/>
          <w:trHeight w:val="498"/>
        </w:trPr>
        <w:tc>
          <w:tcPr>
            <w:tcW w:w="4841" w:type="dxa"/>
            <w:shd w:val="clear" w:color="auto" w:fill="auto"/>
          </w:tcPr>
          <w:p w14:paraId="6B49AB4F" w14:textId="77777777" w:rsidR="00B52467" w:rsidRPr="0086255B" w:rsidRDefault="00B52467" w:rsidP="00D507D9">
            <w:pPr>
              <w:tabs>
                <w:tab w:val="num" w:pos="360"/>
              </w:tabs>
              <w:spacing w:before="120" w:after="120"/>
              <w:jc w:val="both"/>
              <w:rPr>
                <w:rFonts w:eastAsia="Times New Roman" w:cstheme="minorHAnsi"/>
                <w:bCs/>
                <w:lang w:val="hr-HR" w:eastAsia="hr-HR" w:bidi="hr-HR"/>
              </w:rPr>
            </w:pPr>
            <w:r w:rsidRPr="0086255B">
              <w:rPr>
                <w:rFonts w:eastAsia="Times New Roman" w:cstheme="minorHAnsi"/>
                <w:bCs/>
                <w:lang w:val="hr-HR" w:eastAsia="hr-HR" w:bidi="hr-HR"/>
              </w:rPr>
              <w:t>Poljoprivreda</w:t>
            </w:r>
            <w:r w:rsidRPr="0086255B">
              <w:rPr>
                <w:rStyle w:val="FootnoteReference"/>
                <w:rFonts w:eastAsia="Times New Roman" w:cstheme="minorHAnsi"/>
                <w:bCs/>
                <w:lang w:val="hr-HR" w:eastAsia="hr-HR" w:bidi="hr-HR"/>
              </w:rPr>
              <w:footnoteReference w:id="9"/>
            </w:r>
          </w:p>
        </w:tc>
        <w:tc>
          <w:tcPr>
            <w:tcW w:w="2939" w:type="dxa"/>
            <w:shd w:val="clear" w:color="auto" w:fill="auto"/>
          </w:tcPr>
          <w:p w14:paraId="043DDF94" w14:textId="77777777" w:rsidR="00B52467" w:rsidRPr="0086255B" w:rsidRDefault="00B52467" w:rsidP="00D507D9">
            <w:pPr>
              <w:tabs>
                <w:tab w:val="num" w:pos="360"/>
              </w:tabs>
              <w:spacing w:before="120" w:after="120"/>
              <w:jc w:val="both"/>
              <w:rPr>
                <w:rFonts w:eastAsia="Times New Roman" w:cstheme="minorHAnsi"/>
                <w:bCs/>
                <w:lang w:val="hr-HR" w:eastAsia="hr-HR" w:bidi="hr-HR"/>
              </w:rPr>
            </w:pPr>
          </w:p>
        </w:tc>
      </w:tr>
      <w:tr w:rsidR="00B52467" w:rsidRPr="0086255B" w14:paraId="294B9D88" w14:textId="77777777" w:rsidTr="00D507D9">
        <w:trPr>
          <w:gridBefore w:val="1"/>
          <w:gridAfter w:val="1"/>
          <w:wBefore w:w="714" w:type="dxa"/>
          <w:wAfter w:w="522" w:type="dxa"/>
          <w:trHeight w:val="1149"/>
        </w:trPr>
        <w:tc>
          <w:tcPr>
            <w:tcW w:w="4841" w:type="dxa"/>
            <w:shd w:val="clear" w:color="auto" w:fill="auto"/>
          </w:tcPr>
          <w:p w14:paraId="056AC6B4" w14:textId="77777777" w:rsidR="00B52467" w:rsidRPr="0086255B" w:rsidRDefault="00B52467" w:rsidP="00D507D9">
            <w:pPr>
              <w:tabs>
                <w:tab w:val="num" w:pos="360"/>
              </w:tabs>
              <w:spacing w:before="120" w:after="120"/>
              <w:jc w:val="both"/>
              <w:rPr>
                <w:rFonts w:eastAsia="Times New Roman" w:cstheme="minorHAnsi"/>
                <w:bCs/>
                <w:lang w:val="hr-HR" w:eastAsia="hr-HR" w:bidi="hr-HR"/>
              </w:rPr>
            </w:pPr>
            <w:r w:rsidRPr="0086255B">
              <w:rPr>
                <w:rFonts w:eastAsia="Times New Roman" w:cstheme="minorHAnsi"/>
                <w:bCs/>
                <w:lang w:val="hr-HR" w:eastAsia="hr-HR" w:bidi="hr-HR"/>
              </w:rPr>
              <w:t>Prerada i/ili stavljanje na tržište poljoprivrednih proizvoda navedenih u Prilogu I Ugovoru</w:t>
            </w:r>
            <w:r w:rsidRPr="0086255B">
              <w:rPr>
                <w:rStyle w:val="FootnoteReference"/>
                <w:rFonts w:cstheme="minorHAnsi"/>
                <w:bCs/>
              </w:rPr>
              <w:footnoteReference w:id="10"/>
            </w:r>
            <w:r w:rsidRPr="0086255B">
              <w:rPr>
                <w:rFonts w:eastAsia="Times New Roman" w:cstheme="minorHAnsi"/>
                <w:bCs/>
                <w:lang w:val="hr-HR" w:eastAsia="hr-HR" w:bidi="hr-HR"/>
              </w:rPr>
              <w:t xml:space="preserve"> u proizvode navedene u tom Prilogu I.</w:t>
            </w:r>
          </w:p>
        </w:tc>
        <w:tc>
          <w:tcPr>
            <w:tcW w:w="2939" w:type="dxa"/>
            <w:shd w:val="clear" w:color="auto" w:fill="auto"/>
          </w:tcPr>
          <w:p w14:paraId="6C558E93" w14:textId="77777777" w:rsidR="00B52467" w:rsidRPr="0086255B" w:rsidRDefault="00B52467" w:rsidP="00D507D9">
            <w:pPr>
              <w:tabs>
                <w:tab w:val="num" w:pos="360"/>
              </w:tabs>
              <w:spacing w:before="120" w:after="120"/>
              <w:jc w:val="both"/>
              <w:rPr>
                <w:rFonts w:eastAsia="Times New Roman" w:cstheme="minorHAnsi"/>
                <w:bCs/>
                <w:lang w:val="hr-HR" w:eastAsia="hr-HR" w:bidi="hr-HR"/>
              </w:rPr>
            </w:pPr>
          </w:p>
        </w:tc>
      </w:tr>
      <w:tr w:rsidR="00B52467" w:rsidRPr="0086255B" w14:paraId="3BC9EB35" w14:textId="77777777" w:rsidTr="00D507D9">
        <w:trPr>
          <w:gridBefore w:val="1"/>
          <w:gridAfter w:val="1"/>
          <w:wBefore w:w="714" w:type="dxa"/>
          <w:wAfter w:w="522" w:type="dxa"/>
          <w:trHeight w:val="514"/>
        </w:trPr>
        <w:tc>
          <w:tcPr>
            <w:tcW w:w="4841" w:type="dxa"/>
            <w:shd w:val="clear" w:color="auto" w:fill="auto"/>
          </w:tcPr>
          <w:p w14:paraId="54E73542" w14:textId="77777777" w:rsidR="00B52467" w:rsidRPr="0086255B" w:rsidRDefault="00B52467" w:rsidP="00D507D9">
            <w:pPr>
              <w:tabs>
                <w:tab w:val="num" w:pos="360"/>
              </w:tabs>
              <w:spacing w:before="120" w:after="120"/>
              <w:jc w:val="both"/>
              <w:rPr>
                <w:rFonts w:eastAsia="Times New Roman" w:cstheme="minorHAnsi"/>
                <w:bCs/>
                <w:lang w:val="hr-HR" w:eastAsia="hr-HR" w:bidi="hr-HR"/>
              </w:rPr>
            </w:pPr>
            <w:r>
              <w:rPr>
                <w:rFonts w:eastAsia="Times New Roman" w:cstheme="minorHAnsi"/>
                <w:bCs/>
                <w:lang w:val="hr-HR" w:eastAsia="hr-HR" w:bidi="hr-HR"/>
              </w:rPr>
              <w:t>Saobraćaj</w:t>
            </w:r>
            <w:r w:rsidRPr="0086255B">
              <w:rPr>
                <w:rStyle w:val="FootnoteReference"/>
                <w:rFonts w:eastAsia="Times New Roman" w:cstheme="minorHAnsi"/>
                <w:bCs/>
                <w:lang w:val="hr-HR" w:eastAsia="hr-HR" w:bidi="hr-HR"/>
              </w:rPr>
              <w:footnoteReference w:id="11"/>
            </w:r>
          </w:p>
        </w:tc>
        <w:tc>
          <w:tcPr>
            <w:tcW w:w="2939" w:type="dxa"/>
            <w:shd w:val="clear" w:color="auto" w:fill="auto"/>
          </w:tcPr>
          <w:p w14:paraId="44F3106C" w14:textId="77777777" w:rsidR="00B52467" w:rsidRPr="0086255B" w:rsidRDefault="00B52467" w:rsidP="00D507D9">
            <w:pPr>
              <w:tabs>
                <w:tab w:val="num" w:pos="360"/>
              </w:tabs>
              <w:spacing w:before="120" w:after="120"/>
              <w:jc w:val="both"/>
              <w:rPr>
                <w:rFonts w:eastAsia="Times New Roman" w:cstheme="minorHAnsi"/>
                <w:bCs/>
                <w:lang w:val="hr-HR" w:eastAsia="hr-HR" w:bidi="hr-HR"/>
              </w:rPr>
            </w:pPr>
          </w:p>
        </w:tc>
      </w:tr>
      <w:tr w:rsidR="00B52467" w:rsidRPr="0086255B" w14:paraId="1F82220B" w14:textId="77777777" w:rsidTr="00D507D9">
        <w:trPr>
          <w:gridBefore w:val="1"/>
          <w:gridAfter w:val="1"/>
          <w:wBefore w:w="714" w:type="dxa"/>
          <w:wAfter w:w="522" w:type="dxa"/>
          <w:trHeight w:val="498"/>
        </w:trPr>
        <w:tc>
          <w:tcPr>
            <w:tcW w:w="4841" w:type="dxa"/>
            <w:shd w:val="clear" w:color="auto" w:fill="auto"/>
          </w:tcPr>
          <w:p w14:paraId="4C512047" w14:textId="77777777" w:rsidR="00B52467" w:rsidRPr="0086255B" w:rsidRDefault="00B52467" w:rsidP="00D507D9">
            <w:pPr>
              <w:tabs>
                <w:tab w:val="num" w:pos="360"/>
              </w:tabs>
              <w:spacing w:before="120" w:after="120"/>
              <w:jc w:val="both"/>
              <w:rPr>
                <w:rFonts w:eastAsia="Times New Roman" w:cstheme="minorHAnsi"/>
                <w:bCs/>
                <w:lang w:val="hr-HR" w:eastAsia="hr-HR" w:bidi="hr-HR"/>
              </w:rPr>
            </w:pPr>
            <w:r w:rsidRPr="0086255B">
              <w:rPr>
                <w:rFonts w:eastAsia="Times New Roman" w:cstheme="minorHAnsi"/>
                <w:bCs/>
                <w:lang w:val="hr-HR" w:eastAsia="hr-HR" w:bidi="hr-HR"/>
              </w:rPr>
              <w:t>Širokopojasne mreže</w:t>
            </w:r>
            <w:r w:rsidRPr="0086255B">
              <w:rPr>
                <w:rStyle w:val="FootnoteReference"/>
                <w:rFonts w:cstheme="minorHAnsi"/>
                <w:bCs/>
              </w:rPr>
              <w:footnoteReference w:id="12"/>
            </w:r>
          </w:p>
        </w:tc>
        <w:tc>
          <w:tcPr>
            <w:tcW w:w="2939" w:type="dxa"/>
            <w:shd w:val="clear" w:color="auto" w:fill="auto"/>
          </w:tcPr>
          <w:p w14:paraId="5F501D55" w14:textId="77777777" w:rsidR="00B52467" w:rsidRPr="0086255B" w:rsidRDefault="00B52467" w:rsidP="00D507D9">
            <w:pPr>
              <w:tabs>
                <w:tab w:val="num" w:pos="360"/>
              </w:tabs>
              <w:spacing w:before="120" w:after="120"/>
              <w:jc w:val="both"/>
              <w:rPr>
                <w:rFonts w:eastAsia="Times New Roman" w:cstheme="minorHAnsi"/>
                <w:bCs/>
                <w:lang w:val="hr-HR" w:eastAsia="hr-HR" w:bidi="hr-HR"/>
              </w:rPr>
            </w:pPr>
          </w:p>
        </w:tc>
      </w:tr>
      <w:tr w:rsidR="00B52467" w:rsidRPr="0086255B" w14:paraId="4765507B" w14:textId="77777777" w:rsidTr="00D507D9">
        <w:trPr>
          <w:gridBefore w:val="1"/>
          <w:gridAfter w:val="1"/>
          <w:wBefore w:w="714" w:type="dxa"/>
          <w:wAfter w:w="522" w:type="dxa"/>
          <w:trHeight w:val="514"/>
        </w:trPr>
        <w:tc>
          <w:tcPr>
            <w:tcW w:w="4841" w:type="dxa"/>
            <w:shd w:val="clear" w:color="auto" w:fill="auto"/>
          </w:tcPr>
          <w:p w14:paraId="5E60C381" w14:textId="77777777" w:rsidR="00B52467" w:rsidRPr="0086255B" w:rsidRDefault="00B52467" w:rsidP="00D507D9">
            <w:pPr>
              <w:tabs>
                <w:tab w:val="num" w:pos="360"/>
              </w:tabs>
              <w:spacing w:before="120" w:after="120"/>
              <w:jc w:val="both"/>
              <w:rPr>
                <w:rFonts w:eastAsia="Times New Roman" w:cstheme="minorHAnsi"/>
                <w:bCs/>
                <w:lang w:val="hr-HR" w:eastAsia="hr-HR" w:bidi="hr-HR"/>
              </w:rPr>
            </w:pPr>
            <w:r w:rsidRPr="0086255B">
              <w:rPr>
                <w:rFonts w:eastAsia="Times New Roman" w:cstheme="minorHAnsi"/>
                <w:bCs/>
                <w:lang w:val="hr-HR" w:eastAsia="hr-HR" w:bidi="hr-HR"/>
              </w:rPr>
              <w:lastRenderedPageBreak/>
              <w:t>Energetski sektor</w:t>
            </w:r>
            <w:r w:rsidRPr="0086255B">
              <w:rPr>
                <w:rStyle w:val="FootnoteReference"/>
                <w:rFonts w:eastAsia="Times New Roman" w:cstheme="minorHAnsi"/>
                <w:bCs/>
                <w:lang w:val="hr-HR" w:eastAsia="hr-HR" w:bidi="hr-HR"/>
              </w:rPr>
              <w:footnoteReference w:id="13"/>
            </w:r>
          </w:p>
        </w:tc>
        <w:tc>
          <w:tcPr>
            <w:tcW w:w="2939" w:type="dxa"/>
            <w:shd w:val="clear" w:color="auto" w:fill="auto"/>
          </w:tcPr>
          <w:p w14:paraId="41391EF4" w14:textId="77777777" w:rsidR="00B52467" w:rsidRPr="0086255B" w:rsidRDefault="00B52467" w:rsidP="00D507D9">
            <w:pPr>
              <w:tabs>
                <w:tab w:val="num" w:pos="360"/>
              </w:tabs>
              <w:spacing w:before="120" w:after="120"/>
              <w:jc w:val="both"/>
              <w:rPr>
                <w:rFonts w:eastAsia="Times New Roman" w:cstheme="minorHAnsi"/>
                <w:bCs/>
                <w:lang w:val="hr-HR" w:eastAsia="hr-HR" w:bidi="hr-HR"/>
              </w:rPr>
            </w:pPr>
          </w:p>
        </w:tc>
      </w:tr>
      <w:tr w:rsidR="00B52467" w:rsidRPr="0086255B" w14:paraId="23908C73" w14:textId="77777777" w:rsidTr="00D507D9">
        <w:tblPrEx>
          <w:tblBorders>
            <w:insideH w:val="none" w:sz="0" w:space="0" w:color="auto"/>
            <w:insideV w:val="none" w:sz="0" w:space="0" w:color="auto"/>
          </w:tblBorders>
          <w:tblCellMar>
            <w:left w:w="108" w:type="dxa"/>
            <w:right w:w="108" w:type="dxa"/>
          </w:tblCellMar>
          <w:tblLook w:val="0000" w:firstRow="0" w:lastRow="0" w:firstColumn="0" w:lastColumn="0" w:noHBand="0" w:noVBand="0"/>
        </w:tblPrEx>
        <w:trPr>
          <w:trHeight w:val="530"/>
        </w:trPr>
        <w:tc>
          <w:tcPr>
            <w:tcW w:w="9016" w:type="dxa"/>
            <w:gridSpan w:val="4"/>
            <w:tcBorders>
              <w:top w:val="single" w:sz="4" w:space="0" w:color="auto"/>
              <w:bottom w:val="single" w:sz="4" w:space="0" w:color="auto"/>
            </w:tcBorders>
            <w:shd w:val="pct15" w:color="auto" w:fill="FFFFFF"/>
          </w:tcPr>
          <w:p w14:paraId="14CD505C" w14:textId="77777777" w:rsidR="00B52467" w:rsidRPr="0086255B" w:rsidRDefault="00B52467" w:rsidP="00B52467">
            <w:pPr>
              <w:keepNext/>
              <w:numPr>
                <w:ilvl w:val="0"/>
                <w:numId w:val="1"/>
              </w:numPr>
              <w:tabs>
                <w:tab w:val="left" w:pos="720"/>
                <w:tab w:val="left" w:pos="1077"/>
                <w:tab w:val="left" w:pos="1440"/>
                <w:tab w:val="left" w:pos="1797"/>
              </w:tabs>
              <w:spacing w:before="120" w:after="120" w:line="240" w:lineRule="auto"/>
              <w:ind w:left="0" w:firstLine="0"/>
              <w:jc w:val="both"/>
              <w:outlineLvl w:val="3"/>
              <w:rPr>
                <w:rFonts w:eastAsia="Times New Roman" w:cstheme="minorHAnsi"/>
                <w:b/>
                <w:bCs/>
                <w:iCs/>
                <w:lang w:val="hr-HR" w:eastAsia="hr-HR" w:bidi="hr-HR"/>
              </w:rPr>
            </w:pPr>
            <w:r w:rsidRPr="0086255B">
              <w:rPr>
                <w:rFonts w:eastAsia="Times New Roman" w:cstheme="minorHAnsi"/>
                <w:b/>
                <w:bCs/>
                <w:iCs/>
                <w:lang w:val="hr-HR" w:eastAsia="hr-HR" w:bidi="hr-HR"/>
              </w:rPr>
              <w:t>Početno ulaganje, prihvatljivi troškovi pomoći</w:t>
            </w:r>
          </w:p>
        </w:tc>
      </w:tr>
    </w:tbl>
    <w:p w14:paraId="7B68E600" w14:textId="77777777" w:rsidR="00B52467" w:rsidRPr="0086255B" w:rsidRDefault="00B52467" w:rsidP="00B52467">
      <w:pPr>
        <w:numPr>
          <w:ilvl w:val="1"/>
          <w:numId w:val="10"/>
        </w:numPr>
        <w:spacing w:before="120" w:after="120" w:line="240" w:lineRule="auto"/>
        <w:jc w:val="both"/>
        <w:rPr>
          <w:rFonts w:cstheme="minorHAnsi"/>
          <w:b/>
          <w:lang w:val="hr-HR" w:eastAsia="hr-HR" w:bidi="hr-HR"/>
        </w:rPr>
      </w:pPr>
      <w:r w:rsidRPr="0086255B">
        <w:rPr>
          <w:rFonts w:cstheme="minorHAnsi"/>
          <w:b/>
          <w:lang w:val="hr-HR" w:eastAsia="hr-HR" w:bidi="hr-HR"/>
        </w:rPr>
        <w:t>Vrste početnih ulaganja obuhvaćenih šemom pomoći</w:t>
      </w:r>
    </w:p>
    <w:p w14:paraId="024C801F" w14:textId="77777777" w:rsidR="00B52467" w:rsidRPr="00941F20" w:rsidRDefault="00B52467" w:rsidP="00B52467">
      <w:pPr>
        <w:pStyle w:val="ListParagraph"/>
        <w:numPr>
          <w:ilvl w:val="2"/>
          <w:numId w:val="10"/>
        </w:numPr>
        <w:spacing w:after="120"/>
        <w:rPr>
          <w:rFonts w:asciiTheme="minorHAnsi" w:eastAsia="Times New Roman" w:hAnsiTheme="minorHAnsi" w:cstheme="minorHAnsi"/>
          <w:bCs/>
          <w:sz w:val="22"/>
          <w:szCs w:val="22"/>
        </w:rPr>
      </w:pPr>
      <w:r w:rsidRPr="00941F20">
        <w:rPr>
          <w:rFonts w:asciiTheme="minorHAnsi" w:eastAsia="Times New Roman" w:hAnsiTheme="minorHAnsi" w:cstheme="minorHAnsi"/>
          <w:bCs/>
          <w:sz w:val="22"/>
          <w:szCs w:val="22"/>
        </w:rPr>
        <w:t>Ako šema obuhvata ulaganja MSP-ova ili velikih preduzeća</w:t>
      </w:r>
      <w:r w:rsidRPr="00941F20">
        <w:rPr>
          <w:rStyle w:val="FootnoteReference"/>
          <w:rFonts w:asciiTheme="minorHAnsi" w:hAnsiTheme="minorHAnsi" w:cstheme="minorHAnsi"/>
          <w:bCs/>
          <w:sz w:val="22"/>
          <w:szCs w:val="22"/>
        </w:rPr>
        <w:footnoteReference w:id="14"/>
      </w:r>
      <w:r w:rsidRPr="00941F20">
        <w:rPr>
          <w:rFonts w:asciiTheme="minorHAnsi" w:eastAsia="Times New Roman" w:hAnsiTheme="minorHAnsi" w:cstheme="minorHAnsi"/>
          <w:bCs/>
          <w:sz w:val="22"/>
          <w:szCs w:val="22"/>
        </w:rPr>
        <w:t xml:space="preserve"> u područja „a” ili ulaganja MSP-ova u područja „c” (tačka 45 RAG-a), navedite kategoriju/kategorije početnog ulaganja na koje se odnosi prijava (tačka 19 podtačka 13 RAG-a): </w:t>
      </w:r>
    </w:p>
    <w:p w14:paraId="4BDBCAF3" w14:textId="77777777" w:rsidR="00B52467" w:rsidRPr="0086255B" w:rsidRDefault="00B52467" w:rsidP="00B52467">
      <w:pPr>
        <w:numPr>
          <w:ilvl w:val="0"/>
          <w:numId w:val="9"/>
        </w:numPr>
        <w:tabs>
          <w:tab w:val="left" w:pos="720"/>
          <w:tab w:val="left" w:pos="1440"/>
          <w:tab w:val="left" w:pos="1797"/>
        </w:tabs>
        <w:spacing w:before="120" w:after="120" w:line="240" w:lineRule="auto"/>
        <w:jc w:val="both"/>
        <w:rPr>
          <w:rFonts w:eastAsia="Times New Roman" w:cstheme="minorHAnsi"/>
          <w:lang w:val="hr-HR" w:eastAsia="hr-HR" w:bidi="hr-HR"/>
        </w:rPr>
      </w:pPr>
      <w:r w:rsidRPr="0086255B">
        <w:rPr>
          <w:rFonts w:eastAsia="Times New Roman" w:cstheme="minorHAnsi"/>
          <w:lang w:val="hr-HR" w:eastAsia="hr-HR" w:bidi="hr-HR"/>
        </w:rPr>
        <w:fldChar w:fldCharType="begin">
          <w:ffData>
            <w:name w:val="Check1"/>
            <w:enabled/>
            <w:calcOnExit w:val="0"/>
            <w:checkBox>
              <w:sizeAuto/>
              <w:default w:val="0"/>
            </w:checkBox>
          </w:ffData>
        </w:fldChar>
      </w:r>
      <w:r w:rsidRPr="0086255B">
        <w:rPr>
          <w:rFonts w:eastAsia="Times New Roman" w:cstheme="minorHAnsi"/>
          <w:lang w:val="hr-HR" w:eastAsia="hr-HR" w:bidi="hr-HR"/>
        </w:rPr>
        <w:instrText xml:space="preserve"> FORMCHECKBOX </w:instrText>
      </w:r>
      <w:r>
        <w:rPr>
          <w:rFonts w:eastAsia="Times New Roman" w:cstheme="minorHAnsi"/>
          <w:lang w:val="hr-HR" w:eastAsia="hr-HR" w:bidi="hr-HR"/>
        </w:rPr>
      </w:r>
      <w:r>
        <w:rPr>
          <w:rFonts w:eastAsia="Times New Roman" w:cstheme="minorHAnsi"/>
          <w:lang w:val="hr-HR" w:eastAsia="hr-HR" w:bidi="hr-HR"/>
        </w:rPr>
        <w:fldChar w:fldCharType="separate"/>
      </w:r>
      <w:r w:rsidRPr="0086255B">
        <w:rPr>
          <w:rFonts w:eastAsia="Times New Roman" w:cstheme="minorHAnsi"/>
          <w:lang w:val="hr-HR" w:eastAsia="hr-HR" w:bidi="hr-HR"/>
        </w:rPr>
        <w:fldChar w:fldCharType="end"/>
      </w:r>
      <w:r w:rsidRPr="0086255B">
        <w:rPr>
          <w:rFonts w:eastAsia="Times New Roman" w:cstheme="minorHAnsi"/>
          <w:lang w:val="hr-HR" w:eastAsia="hr-HR" w:bidi="hr-HR"/>
        </w:rPr>
        <w:t xml:space="preserve">  osnivanje nove poslovne jedinice</w:t>
      </w:r>
    </w:p>
    <w:p w14:paraId="4A05B421" w14:textId="77777777" w:rsidR="00B52467" w:rsidRPr="0086255B" w:rsidRDefault="00B52467" w:rsidP="00B52467">
      <w:pPr>
        <w:numPr>
          <w:ilvl w:val="0"/>
          <w:numId w:val="9"/>
        </w:numPr>
        <w:tabs>
          <w:tab w:val="left" w:pos="720"/>
          <w:tab w:val="left" w:pos="1440"/>
          <w:tab w:val="left" w:pos="1797"/>
        </w:tabs>
        <w:spacing w:before="120" w:after="120" w:line="240" w:lineRule="auto"/>
        <w:jc w:val="both"/>
        <w:rPr>
          <w:rFonts w:eastAsia="Times New Roman" w:cstheme="minorHAnsi"/>
          <w:lang w:val="hr-HR" w:eastAsia="hr-HR" w:bidi="hr-HR"/>
        </w:rPr>
      </w:pPr>
      <w:r w:rsidRPr="0086255B">
        <w:rPr>
          <w:rFonts w:eastAsia="Times New Roman" w:cstheme="minorHAnsi"/>
          <w:lang w:val="hr-HR" w:eastAsia="hr-HR" w:bidi="hr-HR"/>
        </w:rPr>
        <w:fldChar w:fldCharType="begin">
          <w:ffData>
            <w:name w:val="Check1"/>
            <w:enabled/>
            <w:calcOnExit w:val="0"/>
            <w:checkBox>
              <w:sizeAuto/>
              <w:default w:val="0"/>
            </w:checkBox>
          </w:ffData>
        </w:fldChar>
      </w:r>
      <w:r w:rsidRPr="0086255B">
        <w:rPr>
          <w:rFonts w:eastAsia="Times New Roman" w:cstheme="minorHAnsi"/>
          <w:lang w:val="hr-HR" w:eastAsia="hr-HR" w:bidi="hr-HR"/>
        </w:rPr>
        <w:instrText xml:space="preserve"> FORMCHECKBOX </w:instrText>
      </w:r>
      <w:r>
        <w:rPr>
          <w:rFonts w:eastAsia="Times New Roman" w:cstheme="minorHAnsi"/>
          <w:lang w:val="hr-HR" w:eastAsia="hr-HR" w:bidi="hr-HR"/>
        </w:rPr>
      </w:r>
      <w:r>
        <w:rPr>
          <w:rFonts w:eastAsia="Times New Roman" w:cstheme="minorHAnsi"/>
          <w:lang w:val="hr-HR" w:eastAsia="hr-HR" w:bidi="hr-HR"/>
        </w:rPr>
        <w:fldChar w:fldCharType="separate"/>
      </w:r>
      <w:r w:rsidRPr="0086255B">
        <w:rPr>
          <w:rFonts w:eastAsia="Times New Roman" w:cstheme="minorHAnsi"/>
          <w:lang w:val="hr-HR" w:eastAsia="hr-HR" w:bidi="hr-HR"/>
        </w:rPr>
        <w:fldChar w:fldCharType="end"/>
      </w:r>
      <w:r w:rsidRPr="0086255B">
        <w:rPr>
          <w:rFonts w:eastAsia="Times New Roman" w:cstheme="minorHAnsi"/>
          <w:lang w:val="hr-HR" w:eastAsia="hr-HR" w:bidi="hr-HR"/>
        </w:rPr>
        <w:t xml:space="preserve">  proširenje kapaciteta postojeće poslovne jedinice</w:t>
      </w:r>
    </w:p>
    <w:p w14:paraId="57DC3D63" w14:textId="77777777" w:rsidR="00B52467" w:rsidRPr="0086255B" w:rsidRDefault="00B52467" w:rsidP="00B52467">
      <w:pPr>
        <w:numPr>
          <w:ilvl w:val="0"/>
          <w:numId w:val="9"/>
        </w:numPr>
        <w:tabs>
          <w:tab w:val="left" w:pos="720"/>
          <w:tab w:val="left" w:pos="1440"/>
          <w:tab w:val="left" w:pos="1797"/>
        </w:tabs>
        <w:spacing w:before="120" w:after="120" w:line="240" w:lineRule="auto"/>
        <w:jc w:val="both"/>
        <w:rPr>
          <w:rFonts w:eastAsia="Times New Roman" w:cstheme="minorHAnsi"/>
          <w:lang w:val="hr-HR" w:eastAsia="hr-HR" w:bidi="hr-HR"/>
        </w:rPr>
      </w:pPr>
      <w:r w:rsidRPr="0086255B">
        <w:rPr>
          <w:rFonts w:eastAsia="Times New Roman" w:cstheme="minorHAnsi"/>
          <w:lang w:val="hr-HR" w:eastAsia="hr-HR" w:bidi="hr-HR"/>
        </w:rPr>
        <w:fldChar w:fldCharType="begin">
          <w:ffData>
            <w:name w:val="Check1"/>
            <w:enabled/>
            <w:calcOnExit w:val="0"/>
            <w:checkBox>
              <w:sizeAuto/>
              <w:default w:val="0"/>
            </w:checkBox>
          </w:ffData>
        </w:fldChar>
      </w:r>
      <w:r w:rsidRPr="0086255B">
        <w:rPr>
          <w:rFonts w:eastAsia="Times New Roman" w:cstheme="minorHAnsi"/>
          <w:lang w:val="hr-HR" w:eastAsia="hr-HR" w:bidi="hr-HR"/>
        </w:rPr>
        <w:instrText xml:space="preserve"> FORMCHECKBOX </w:instrText>
      </w:r>
      <w:r>
        <w:rPr>
          <w:rFonts w:eastAsia="Times New Roman" w:cstheme="minorHAnsi"/>
          <w:lang w:val="hr-HR" w:eastAsia="hr-HR" w:bidi="hr-HR"/>
        </w:rPr>
      </w:r>
      <w:r>
        <w:rPr>
          <w:rFonts w:eastAsia="Times New Roman" w:cstheme="minorHAnsi"/>
          <w:lang w:val="hr-HR" w:eastAsia="hr-HR" w:bidi="hr-HR"/>
        </w:rPr>
        <w:fldChar w:fldCharType="separate"/>
      </w:r>
      <w:r w:rsidRPr="0086255B">
        <w:rPr>
          <w:rFonts w:eastAsia="Times New Roman" w:cstheme="minorHAnsi"/>
          <w:lang w:val="hr-HR" w:eastAsia="hr-HR" w:bidi="hr-HR"/>
        </w:rPr>
        <w:fldChar w:fldCharType="end"/>
      </w:r>
      <w:r w:rsidRPr="0086255B">
        <w:rPr>
          <w:rFonts w:eastAsia="Times New Roman" w:cstheme="minorHAnsi"/>
          <w:lang w:val="hr-HR" w:eastAsia="hr-HR" w:bidi="hr-HR"/>
        </w:rPr>
        <w:t xml:space="preserve">  diversifikacija proizvodnje poslovne jedinice na proizvode koje dotična poslovna jedinica prethodno nije proizvodila</w:t>
      </w:r>
    </w:p>
    <w:p w14:paraId="372BF248" w14:textId="77777777" w:rsidR="00B52467" w:rsidRPr="0086255B" w:rsidRDefault="00B52467" w:rsidP="00B52467">
      <w:pPr>
        <w:numPr>
          <w:ilvl w:val="0"/>
          <w:numId w:val="9"/>
        </w:numPr>
        <w:tabs>
          <w:tab w:val="left" w:pos="720"/>
          <w:tab w:val="left" w:pos="1440"/>
          <w:tab w:val="left" w:pos="1797"/>
        </w:tabs>
        <w:spacing w:before="120" w:after="120" w:line="240" w:lineRule="auto"/>
        <w:jc w:val="both"/>
        <w:rPr>
          <w:rFonts w:eastAsia="Times New Roman" w:cstheme="minorHAnsi"/>
          <w:lang w:val="hr-HR" w:eastAsia="hr-HR" w:bidi="hr-HR"/>
        </w:rPr>
      </w:pPr>
      <w:r w:rsidRPr="0086255B">
        <w:rPr>
          <w:rFonts w:eastAsia="Times New Roman" w:cstheme="minorHAnsi"/>
          <w:lang w:val="hr-HR" w:eastAsia="hr-HR" w:bidi="hr-HR"/>
        </w:rPr>
        <w:fldChar w:fldCharType="begin">
          <w:ffData>
            <w:name w:val="Check1"/>
            <w:enabled/>
            <w:calcOnExit w:val="0"/>
            <w:checkBox>
              <w:sizeAuto/>
              <w:default w:val="0"/>
            </w:checkBox>
          </w:ffData>
        </w:fldChar>
      </w:r>
      <w:r w:rsidRPr="0086255B">
        <w:rPr>
          <w:rFonts w:eastAsia="Times New Roman" w:cstheme="minorHAnsi"/>
          <w:lang w:val="hr-HR" w:eastAsia="hr-HR" w:bidi="hr-HR"/>
        </w:rPr>
        <w:instrText xml:space="preserve"> FORMCHECKBOX </w:instrText>
      </w:r>
      <w:r>
        <w:rPr>
          <w:rFonts w:eastAsia="Times New Roman" w:cstheme="minorHAnsi"/>
          <w:lang w:val="hr-HR" w:eastAsia="hr-HR" w:bidi="hr-HR"/>
        </w:rPr>
      </w:r>
      <w:r>
        <w:rPr>
          <w:rFonts w:eastAsia="Times New Roman" w:cstheme="minorHAnsi"/>
          <w:lang w:val="hr-HR" w:eastAsia="hr-HR" w:bidi="hr-HR"/>
        </w:rPr>
        <w:fldChar w:fldCharType="separate"/>
      </w:r>
      <w:r w:rsidRPr="0086255B">
        <w:rPr>
          <w:rFonts w:eastAsia="Times New Roman" w:cstheme="minorHAnsi"/>
          <w:lang w:val="hr-HR" w:eastAsia="hr-HR" w:bidi="hr-HR"/>
        </w:rPr>
        <w:fldChar w:fldCharType="end"/>
      </w:r>
      <w:r w:rsidRPr="0086255B">
        <w:rPr>
          <w:rFonts w:eastAsia="Times New Roman" w:cstheme="minorHAnsi"/>
          <w:lang w:val="hr-HR" w:eastAsia="hr-HR" w:bidi="hr-HR"/>
        </w:rPr>
        <w:t xml:space="preserve"> temeljna promjena u sveukupnog proizvodnog procesa proizvoda na koje se odnosi ulaganje u poslovnu jedinicu</w:t>
      </w:r>
    </w:p>
    <w:p w14:paraId="2BFA7C8A" w14:textId="77777777" w:rsidR="00B52467" w:rsidRPr="0086255B" w:rsidRDefault="00B52467" w:rsidP="00B52467">
      <w:pPr>
        <w:numPr>
          <w:ilvl w:val="0"/>
          <w:numId w:val="9"/>
        </w:numPr>
        <w:tabs>
          <w:tab w:val="left" w:pos="720"/>
          <w:tab w:val="left" w:pos="1440"/>
          <w:tab w:val="left" w:pos="1797"/>
        </w:tabs>
        <w:spacing w:before="120" w:after="120" w:line="240" w:lineRule="auto"/>
        <w:jc w:val="both"/>
        <w:rPr>
          <w:rFonts w:eastAsia="Times New Roman" w:cstheme="minorHAnsi"/>
          <w:lang w:val="hr-HR" w:eastAsia="hr-HR" w:bidi="hr-HR"/>
        </w:rPr>
      </w:pPr>
      <w:r w:rsidRPr="0086255B">
        <w:rPr>
          <w:rFonts w:eastAsia="Times New Roman" w:cstheme="minorHAnsi"/>
          <w:lang w:val="hr-HR" w:eastAsia="hr-HR" w:bidi="hr-HR"/>
        </w:rPr>
        <w:fldChar w:fldCharType="begin">
          <w:ffData>
            <w:name w:val="Check1"/>
            <w:enabled/>
            <w:calcOnExit w:val="0"/>
            <w:checkBox>
              <w:sizeAuto/>
              <w:default w:val="0"/>
            </w:checkBox>
          </w:ffData>
        </w:fldChar>
      </w:r>
      <w:r w:rsidRPr="0086255B">
        <w:rPr>
          <w:rFonts w:eastAsia="Times New Roman" w:cstheme="minorHAnsi"/>
          <w:lang w:val="hr-HR" w:eastAsia="hr-HR" w:bidi="hr-HR"/>
        </w:rPr>
        <w:instrText xml:space="preserve"> FORMCHECKBOX </w:instrText>
      </w:r>
      <w:r>
        <w:rPr>
          <w:rFonts w:eastAsia="Times New Roman" w:cstheme="minorHAnsi"/>
          <w:lang w:val="hr-HR" w:eastAsia="hr-HR" w:bidi="hr-HR"/>
        </w:rPr>
      </w:r>
      <w:r>
        <w:rPr>
          <w:rFonts w:eastAsia="Times New Roman" w:cstheme="minorHAnsi"/>
          <w:lang w:val="hr-HR" w:eastAsia="hr-HR" w:bidi="hr-HR"/>
        </w:rPr>
        <w:fldChar w:fldCharType="separate"/>
      </w:r>
      <w:r w:rsidRPr="0086255B">
        <w:rPr>
          <w:rFonts w:eastAsia="Times New Roman" w:cstheme="minorHAnsi"/>
          <w:lang w:val="hr-HR" w:eastAsia="hr-HR" w:bidi="hr-HR"/>
        </w:rPr>
        <w:fldChar w:fldCharType="end"/>
      </w:r>
      <w:r w:rsidRPr="0086255B">
        <w:rPr>
          <w:rFonts w:eastAsia="Times New Roman" w:cstheme="minorHAnsi"/>
          <w:lang w:val="hr-HR" w:eastAsia="hr-HR" w:bidi="hr-HR"/>
        </w:rPr>
        <w:t xml:space="preserve">  sticanje imovine koja pripada poslovnoj jedinici koja se zatvorila ili bi se zatvorila da nije kupljena</w:t>
      </w:r>
      <w:r w:rsidRPr="0086255B">
        <w:rPr>
          <w:rStyle w:val="FootnoteReference"/>
          <w:rFonts w:cstheme="minorHAnsi"/>
        </w:rPr>
        <w:footnoteReference w:id="15"/>
      </w:r>
    </w:p>
    <w:p w14:paraId="43887F71" w14:textId="77777777" w:rsidR="00B52467" w:rsidRPr="00941F20" w:rsidRDefault="00B52467" w:rsidP="00B52467">
      <w:pPr>
        <w:pStyle w:val="ListParagraph"/>
        <w:numPr>
          <w:ilvl w:val="2"/>
          <w:numId w:val="10"/>
        </w:numPr>
        <w:spacing w:after="120"/>
        <w:rPr>
          <w:rFonts w:asciiTheme="minorHAnsi" w:eastAsia="Times New Roman" w:hAnsiTheme="minorHAnsi" w:cstheme="minorHAnsi"/>
          <w:bCs/>
          <w:sz w:val="22"/>
          <w:szCs w:val="22"/>
        </w:rPr>
      </w:pPr>
      <w:r w:rsidRPr="00941F20">
        <w:rPr>
          <w:rFonts w:asciiTheme="minorHAnsi" w:eastAsia="Times New Roman" w:hAnsiTheme="minorHAnsi" w:cstheme="minorHAnsi"/>
          <w:bCs/>
          <w:sz w:val="22"/>
          <w:szCs w:val="22"/>
        </w:rPr>
        <w:t>Ako šema obuhvata ulaganja velikih preduzeća u područja „c”, navedite kategoriju ili kategorije početnog ulaganja na koje se odnosi prijava (tačka 19 podtačka 14 i tačka 14 RAG-a):</w:t>
      </w:r>
    </w:p>
    <w:p w14:paraId="668DEC90" w14:textId="77777777" w:rsidR="00B52467" w:rsidRPr="0086255B" w:rsidRDefault="00B52467" w:rsidP="00B52467">
      <w:pPr>
        <w:numPr>
          <w:ilvl w:val="0"/>
          <w:numId w:val="9"/>
        </w:numPr>
        <w:tabs>
          <w:tab w:val="left" w:pos="720"/>
          <w:tab w:val="left" w:pos="1440"/>
          <w:tab w:val="left" w:pos="1797"/>
        </w:tabs>
        <w:spacing w:before="120" w:after="120" w:line="240" w:lineRule="auto"/>
        <w:jc w:val="both"/>
        <w:rPr>
          <w:rFonts w:eastAsia="Times New Roman" w:cstheme="minorHAnsi"/>
          <w:lang w:val="hr-HR" w:eastAsia="hr-HR" w:bidi="hr-HR"/>
        </w:rPr>
      </w:pPr>
      <w:r w:rsidRPr="0086255B">
        <w:rPr>
          <w:rFonts w:eastAsia="Times New Roman" w:cstheme="minorHAnsi"/>
          <w:lang w:val="hr-HR" w:eastAsia="hr-HR" w:bidi="hr-HR"/>
        </w:rPr>
        <w:fldChar w:fldCharType="begin">
          <w:ffData>
            <w:name w:val="Check1"/>
            <w:enabled/>
            <w:calcOnExit w:val="0"/>
            <w:checkBox>
              <w:sizeAuto/>
              <w:default w:val="0"/>
            </w:checkBox>
          </w:ffData>
        </w:fldChar>
      </w:r>
      <w:r w:rsidRPr="0086255B">
        <w:rPr>
          <w:rFonts w:eastAsia="Times New Roman" w:cstheme="minorHAnsi"/>
          <w:lang w:val="hr-HR" w:eastAsia="hr-HR" w:bidi="hr-HR"/>
        </w:rPr>
        <w:instrText xml:space="preserve"> FORMCHECKBOX </w:instrText>
      </w:r>
      <w:r>
        <w:rPr>
          <w:rFonts w:eastAsia="Times New Roman" w:cstheme="minorHAnsi"/>
          <w:lang w:val="hr-HR" w:eastAsia="hr-HR" w:bidi="hr-HR"/>
        </w:rPr>
      </w:r>
      <w:r>
        <w:rPr>
          <w:rFonts w:eastAsia="Times New Roman" w:cstheme="minorHAnsi"/>
          <w:lang w:val="hr-HR" w:eastAsia="hr-HR" w:bidi="hr-HR"/>
        </w:rPr>
        <w:fldChar w:fldCharType="separate"/>
      </w:r>
      <w:r w:rsidRPr="0086255B">
        <w:rPr>
          <w:rFonts w:eastAsia="Times New Roman" w:cstheme="minorHAnsi"/>
          <w:lang w:val="hr-HR" w:eastAsia="hr-HR" w:bidi="hr-HR"/>
        </w:rPr>
        <w:fldChar w:fldCharType="end"/>
      </w:r>
      <w:r w:rsidRPr="0086255B">
        <w:rPr>
          <w:rFonts w:eastAsia="Times New Roman" w:cstheme="minorHAnsi"/>
          <w:lang w:val="hr-HR" w:eastAsia="hr-HR" w:bidi="hr-HR"/>
        </w:rPr>
        <w:t xml:space="preserve">  osnivanje nove poslovne jedinice</w:t>
      </w:r>
    </w:p>
    <w:p w14:paraId="6DB93A55" w14:textId="77777777" w:rsidR="00B52467" w:rsidRPr="0086255B" w:rsidRDefault="00B52467" w:rsidP="00B52467">
      <w:pPr>
        <w:numPr>
          <w:ilvl w:val="0"/>
          <w:numId w:val="9"/>
        </w:numPr>
        <w:tabs>
          <w:tab w:val="left" w:pos="720"/>
          <w:tab w:val="left" w:pos="1440"/>
          <w:tab w:val="left" w:pos="1797"/>
        </w:tabs>
        <w:spacing w:before="120" w:after="120" w:line="240" w:lineRule="auto"/>
        <w:jc w:val="both"/>
        <w:rPr>
          <w:rFonts w:eastAsia="Times New Roman" w:cstheme="minorHAnsi"/>
          <w:lang w:val="hr-HR" w:eastAsia="hr-HR" w:bidi="hr-HR"/>
        </w:rPr>
      </w:pPr>
      <w:r w:rsidRPr="0086255B">
        <w:rPr>
          <w:rFonts w:eastAsia="Times New Roman" w:cstheme="minorHAnsi"/>
          <w:lang w:val="hr-HR" w:eastAsia="hr-HR" w:bidi="hr-HR"/>
        </w:rPr>
        <w:fldChar w:fldCharType="begin">
          <w:ffData>
            <w:name w:val="Check1"/>
            <w:enabled/>
            <w:calcOnExit w:val="0"/>
            <w:checkBox>
              <w:sizeAuto/>
              <w:default w:val="0"/>
            </w:checkBox>
          </w:ffData>
        </w:fldChar>
      </w:r>
      <w:r w:rsidRPr="0086255B">
        <w:rPr>
          <w:rFonts w:eastAsia="Times New Roman" w:cstheme="minorHAnsi"/>
          <w:lang w:val="hr-HR" w:eastAsia="hr-HR" w:bidi="hr-HR"/>
        </w:rPr>
        <w:instrText xml:space="preserve"> FORMCHECKBOX </w:instrText>
      </w:r>
      <w:r>
        <w:rPr>
          <w:rFonts w:eastAsia="Times New Roman" w:cstheme="minorHAnsi"/>
          <w:lang w:val="hr-HR" w:eastAsia="hr-HR" w:bidi="hr-HR"/>
        </w:rPr>
      </w:r>
      <w:r>
        <w:rPr>
          <w:rFonts w:eastAsia="Times New Roman" w:cstheme="minorHAnsi"/>
          <w:lang w:val="hr-HR" w:eastAsia="hr-HR" w:bidi="hr-HR"/>
        </w:rPr>
        <w:fldChar w:fldCharType="separate"/>
      </w:r>
      <w:r w:rsidRPr="0086255B">
        <w:rPr>
          <w:rFonts w:eastAsia="Times New Roman" w:cstheme="minorHAnsi"/>
          <w:lang w:val="hr-HR" w:eastAsia="hr-HR" w:bidi="hr-HR"/>
        </w:rPr>
        <w:fldChar w:fldCharType="end"/>
      </w:r>
      <w:r w:rsidRPr="0086255B">
        <w:rPr>
          <w:rFonts w:eastAsia="Times New Roman" w:cstheme="minorHAnsi"/>
          <w:lang w:val="hr-HR" w:eastAsia="hr-HR" w:bidi="hr-HR"/>
        </w:rPr>
        <w:t xml:space="preserve">  diversifikacija djelatnosti poslovne jedinice, pod uslovom da nova djelatnost nije ista ili slična djelatnosti</w:t>
      </w:r>
      <w:r w:rsidRPr="0086255B">
        <w:rPr>
          <w:rStyle w:val="FootnoteReference"/>
          <w:rFonts w:cstheme="minorHAnsi"/>
        </w:rPr>
        <w:footnoteReference w:id="16"/>
      </w:r>
      <w:r w:rsidRPr="0086255B">
        <w:rPr>
          <w:rFonts w:eastAsia="Times New Roman" w:cstheme="minorHAnsi"/>
          <w:lang w:val="hr-HR" w:eastAsia="hr-HR" w:bidi="hr-HR"/>
        </w:rPr>
        <w:t xml:space="preserve"> koja se prethodno obavljala u poslovnoj jedinici</w:t>
      </w:r>
    </w:p>
    <w:p w14:paraId="75FFCFE7" w14:textId="77777777" w:rsidR="00B52467" w:rsidRPr="0086255B" w:rsidRDefault="00B52467" w:rsidP="00B52467">
      <w:pPr>
        <w:numPr>
          <w:ilvl w:val="0"/>
          <w:numId w:val="9"/>
        </w:numPr>
        <w:tabs>
          <w:tab w:val="left" w:pos="720"/>
          <w:tab w:val="left" w:pos="1440"/>
          <w:tab w:val="left" w:pos="1797"/>
        </w:tabs>
        <w:spacing w:before="120" w:after="120" w:line="240" w:lineRule="auto"/>
        <w:jc w:val="both"/>
        <w:rPr>
          <w:rFonts w:eastAsia="Times New Roman" w:cstheme="minorHAnsi"/>
          <w:lang w:val="hr-HR" w:eastAsia="hr-HR" w:bidi="hr-HR"/>
        </w:rPr>
      </w:pPr>
      <w:r w:rsidRPr="0086255B">
        <w:rPr>
          <w:rFonts w:eastAsia="Times New Roman" w:cstheme="minorHAnsi"/>
          <w:lang w:val="hr-HR" w:eastAsia="hr-HR" w:bidi="hr-HR"/>
        </w:rPr>
        <w:fldChar w:fldCharType="begin">
          <w:ffData>
            <w:name w:val="Check1"/>
            <w:enabled/>
            <w:calcOnExit w:val="0"/>
            <w:checkBox>
              <w:sizeAuto/>
              <w:default w:val="0"/>
            </w:checkBox>
          </w:ffData>
        </w:fldChar>
      </w:r>
      <w:r w:rsidRPr="0086255B">
        <w:rPr>
          <w:rFonts w:eastAsia="Times New Roman" w:cstheme="minorHAnsi"/>
          <w:lang w:val="hr-HR" w:eastAsia="hr-HR" w:bidi="hr-HR"/>
        </w:rPr>
        <w:instrText xml:space="preserve"> FORMCHECKBOX </w:instrText>
      </w:r>
      <w:r>
        <w:rPr>
          <w:rFonts w:eastAsia="Times New Roman" w:cstheme="minorHAnsi"/>
          <w:lang w:val="hr-HR" w:eastAsia="hr-HR" w:bidi="hr-HR"/>
        </w:rPr>
      </w:r>
      <w:r>
        <w:rPr>
          <w:rFonts w:eastAsia="Times New Roman" w:cstheme="minorHAnsi"/>
          <w:lang w:val="hr-HR" w:eastAsia="hr-HR" w:bidi="hr-HR"/>
        </w:rPr>
        <w:fldChar w:fldCharType="separate"/>
      </w:r>
      <w:r w:rsidRPr="0086255B">
        <w:rPr>
          <w:rFonts w:eastAsia="Times New Roman" w:cstheme="minorHAnsi"/>
          <w:lang w:val="hr-HR" w:eastAsia="hr-HR" w:bidi="hr-HR"/>
        </w:rPr>
        <w:fldChar w:fldCharType="end"/>
      </w:r>
      <w:r w:rsidRPr="0086255B">
        <w:rPr>
          <w:rFonts w:eastAsia="Times New Roman" w:cstheme="minorHAnsi"/>
          <w:lang w:val="hr-HR" w:eastAsia="hr-HR" w:bidi="hr-HR"/>
        </w:rPr>
        <w:t xml:space="preserve"> sticanje imovine koja pripada poslovnoj jedinici koja se zatvorila ili bi bila zatvorena da nije bila kupljena, pod uslovom da nova djelatnost koja će se obavljati upotrebom stečene imovine nije ista ili slična djelatnosti koju je poslovna jedinica obavljala prije sticanja</w:t>
      </w:r>
      <w:r w:rsidRPr="0086255B">
        <w:rPr>
          <w:rStyle w:val="FootnoteReference"/>
          <w:rFonts w:eastAsia="Times New Roman" w:cstheme="minorHAnsi"/>
          <w:lang w:val="hr-HR" w:eastAsia="hr-HR" w:bidi="hr-HR"/>
        </w:rPr>
        <w:footnoteReference w:id="17"/>
      </w:r>
    </w:p>
    <w:p w14:paraId="71D7C906" w14:textId="77777777" w:rsidR="00B52467" w:rsidRPr="0086255B" w:rsidRDefault="00B52467" w:rsidP="00B52467">
      <w:pPr>
        <w:numPr>
          <w:ilvl w:val="1"/>
          <w:numId w:val="10"/>
        </w:numPr>
        <w:spacing w:before="120" w:after="120" w:line="240" w:lineRule="auto"/>
        <w:jc w:val="both"/>
        <w:rPr>
          <w:rFonts w:cstheme="minorHAnsi"/>
          <w:b/>
          <w:lang w:val="hr-HR" w:eastAsia="hr-HR" w:bidi="hr-HR"/>
        </w:rPr>
      </w:pPr>
      <w:r w:rsidRPr="0086255B">
        <w:rPr>
          <w:rFonts w:cstheme="minorHAnsi"/>
          <w:b/>
          <w:lang w:val="hr-HR" w:eastAsia="hr-HR" w:bidi="hr-HR"/>
        </w:rPr>
        <w:t xml:space="preserve"> Prihvatljivi troškovi izračunati na osnovu troškova ulaganja</w:t>
      </w:r>
    </w:p>
    <w:p w14:paraId="7E47F1F9" w14:textId="77777777" w:rsidR="00B52467" w:rsidRPr="0086255B" w:rsidRDefault="00B52467" w:rsidP="00B52467">
      <w:pPr>
        <w:numPr>
          <w:ilvl w:val="2"/>
          <w:numId w:val="3"/>
        </w:numPr>
        <w:spacing w:before="120" w:after="120" w:line="240" w:lineRule="auto"/>
        <w:ind w:left="720" w:hanging="720"/>
        <w:jc w:val="both"/>
        <w:rPr>
          <w:rFonts w:eastAsia="Times New Roman" w:cstheme="minorHAnsi"/>
          <w:bCs/>
          <w:lang w:val="hr-HR" w:eastAsia="hr-HR" w:bidi="hr-HR"/>
        </w:rPr>
      </w:pPr>
      <w:r w:rsidRPr="0086255B">
        <w:rPr>
          <w:rFonts w:eastAsia="Times New Roman" w:cstheme="minorHAnsi"/>
          <w:bCs/>
          <w:lang w:val="hr-HR" w:eastAsia="hr-HR" w:bidi="hr-HR"/>
        </w:rPr>
        <w:t>Ako se prihvatljivi troškovi šeme (tačka 19 podtačka 31 RAG-a) odnose na materijalnu imovinu, utvrđuje li se vrijednost ulaganja kao procenat na osnovu zemljišta, zgrada i postrojenja, mašina i opreme:</w:t>
      </w:r>
    </w:p>
    <w:p w14:paraId="291AD4F8" w14:textId="77777777" w:rsidR="00B52467" w:rsidRPr="0086255B" w:rsidRDefault="00B52467" w:rsidP="00B52467">
      <w:pPr>
        <w:numPr>
          <w:ilvl w:val="0"/>
          <w:numId w:val="9"/>
        </w:numPr>
        <w:tabs>
          <w:tab w:val="left" w:pos="720"/>
          <w:tab w:val="left" w:pos="1440"/>
          <w:tab w:val="left" w:pos="1797"/>
        </w:tabs>
        <w:spacing w:before="120" w:after="120" w:line="240" w:lineRule="auto"/>
        <w:jc w:val="both"/>
        <w:rPr>
          <w:rFonts w:eastAsia="Times New Roman" w:cstheme="minorHAnsi"/>
          <w:lang w:val="hr-HR" w:eastAsia="hr-HR" w:bidi="hr-HR"/>
        </w:rPr>
      </w:pPr>
      <w:r w:rsidRPr="0086255B">
        <w:rPr>
          <w:rFonts w:eastAsia="Times New Roman" w:cstheme="minorHAnsi"/>
          <w:lang w:val="hr-HR" w:eastAsia="hr-HR" w:bidi="hr-HR"/>
        </w:rPr>
        <w:fldChar w:fldCharType="begin">
          <w:ffData>
            <w:name w:val="Check1"/>
            <w:enabled/>
            <w:calcOnExit w:val="0"/>
            <w:checkBox>
              <w:sizeAuto/>
              <w:default w:val="0"/>
            </w:checkBox>
          </w:ffData>
        </w:fldChar>
      </w:r>
      <w:r w:rsidRPr="0086255B">
        <w:rPr>
          <w:rFonts w:eastAsia="Times New Roman" w:cstheme="minorHAnsi"/>
          <w:lang w:val="hr-HR" w:eastAsia="hr-HR" w:bidi="hr-HR"/>
        </w:rPr>
        <w:instrText xml:space="preserve"> FORMCHECKBOX </w:instrText>
      </w:r>
      <w:r>
        <w:rPr>
          <w:rFonts w:eastAsia="Times New Roman" w:cstheme="minorHAnsi"/>
          <w:lang w:val="hr-HR" w:eastAsia="hr-HR" w:bidi="hr-HR"/>
        </w:rPr>
      </w:r>
      <w:r>
        <w:rPr>
          <w:rFonts w:eastAsia="Times New Roman" w:cstheme="minorHAnsi"/>
          <w:lang w:val="hr-HR" w:eastAsia="hr-HR" w:bidi="hr-HR"/>
        </w:rPr>
        <w:fldChar w:fldCharType="separate"/>
      </w:r>
      <w:r w:rsidRPr="0086255B">
        <w:rPr>
          <w:rFonts w:eastAsia="Times New Roman" w:cstheme="minorHAnsi"/>
          <w:lang w:val="hr-HR" w:eastAsia="hr-HR" w:bidi="hr-HR"/>
        </w:rPr>
        <w:fldChar w:fldCharType="end"/>
      </w:r>
      <w:r w:rsidRPr="0086255B">
        <w:rPr>
          <w:rFonts w:eastAsia="Times New Roman" w:cstheme="minorHAnsi"/>
          <w:lang w:val="hr-HR" w:eastAsia="hr-HR" w:bidi="hr-HR"/>
        </w:rPr>
        <w:t xml:space="preserve">  zemljište</w:t>
      </w:r>
    </w:p>
    <w:p w14:paraId="0568FD26" w14:textId="77777777" w:rsidR="00B52467" w:rsidRPr="0086255B" w:rsidRDefault="00B52467" w:rsidP="00B52467">
      <w:pPr>
        <w:numPr>
          <w:ilvl w:val="0"/>
          <w:numId w:val="9"/>
        </w:numPr>
        <w:tabs>
          <w:tab w:val="left" w:pos="720"/>
          <w:tab w:val="left" w:pos="1440"/>
          <w:tab w:val="left" w:pos="1797"/>
        </w:tabs>
        <w:spacing w:before="120" w:after="120" w:line="240" w:lineRule="auto"/>
        <w:jc w:val="both"/>
        <w:rPr>
          <w:rFonts w:eastAsia="Times New Roman" w:cstheme="minorHAnsi"/>
          <w:lang w:val="hr-HR" w:eastAsia="hr-HR" w:bidi="hr-HR"/>
        </w:rPr>
      </w:pPr>
      <w:r w:rsidRPr="0086255B">
        <w:rPr>
          <w:rFonts w:eastAsia="Times New Roman" w:cstheme="minorHAnsi"/>
          <w:lang w:val="hr-HR" w:eastAsia="hr-HR" w:bidi="hr-HR"/>
        </w:rPr>
        <w:fldChar w:fldCharType="begin">
          <w:ffData>
            <w:name w:val="Check1"/>
            <w:enabled/>
            <w:calcOnExit w:val="0"/>
            <w:checkBox>
              <w:sizeAuto/>
              <w:default w:val="0"/>
            </w:checkBox>
          </w:ffData>
        </w:fldChar>
      </w:r>
      <w:r w:rsidRPr="0086255B">
        <w:rPr>
          <w:rFonts w:eastAsia="Times New Roman" w:cstheme="minorHAnsi"/>
          <w:lang w:val="hr-HR" w:eastAsia="hr-HR" w:bidi="hr-HR"/>
        </w:rPr>
        <w:instrText xml:space="preserve"> FORMCHECKBOX </w:instrText>
      </w:r>
      <w:r>
        <w:rPr>
          <w:rFonts w:eastAsia="Times New Roman" w:cstheme="minorHAnsi"/>
          <w:lang w:val="hr-HR" w:eastAsia="hr-HR" w:bidi="hr-HR"/>
        </w:rPr>
      </w:r>
      <w:r>
        <w:rPr>
          <w:rFonts w:eastAsia="Times New Roman" w:cstheme="minorHAnsi"/>
          <w:lang w:val="hr-HR" w:eastAsia="hr-HR" w:bidi="hr-HR"/>
        </w:rPr>
        <w:fldChar w:fldCharType="separate"/>
      </w:r>
      <w:r w:rsidRPr="0086255B">
        <w:rPr>
          <w:rFonts w:eastAsia="Times New Roman" w:cstheme="minorHAnsi"/>
          <w:lang w:val="hr-HR" w:eastAsia="hr-HR" w:bidi="hr-HR"/>
        </w:rPr>
        <w:fldChar w:fldCharType="end"/>
      </w:r>
      <w:r w:rsidRPr="0086255B">
        <w:rPr>
          <w:rFonts w:eastAsia="Times New Roman" w:cstheme="minorHAnsi"/>
          <w:lang w:val="hr-HR" w:eastAsia="hr-HR" w:bidi="hr-HR"/>
        </w:rPr>
        <w:t xml:space="preserve">  zgrade </w:t>
      </w:r>
    </w:p>
    <w:p w14:paraId="27C4401F" w14:textId="77777777" w:rsidR="00B52467" w:rsidRPr="0086255B" w:rsidRDefault="00B52467" w:rsidP="00B52467">
      <w:pPr>
        <w:numPr>
          <w:ilvl w:val="0"/>
          <w:numId w:val="9"/>
        </w:numPr>
        <w:tabs>
          <w:tab w:val="left" w:pos="720"/>
          <w:tab w:val="left" w:pos="1440"/>
          <w:tab w:val="left" w:pos="1797"/>
        </w:tabs>
        <w:spacing w:before="120" w:after="120" w:line="240" w:lineRule="auto"/>
        <w:jc w:val="both"/>
        <w:rPr>
          <w:rFonts w:eastAsia="Times New Roman" w:cstheme="minorHAnsi"/>
          <w:lang w:val="hr-HR" w:eastAsia="hr-HR" w:bidi="hr-HR"/>
        </w:rPr>
      </w:pPr>
      <w:r w:rsidRPr="0086255B">
        <w:rPr>
          <w:rFonts w:eastAsia="Times New Roman" w:cstheme="minorHAnsi"/>
          <w:lang w:val="hr-HR" w:eastAsia="hr-HR" w:bidi="hr-HR"/>
        </w:rPr>
        <w:fldChar w:fldCharType="begin">
          <w:ffData>
            <w:name w:val="Check1"/>
            <w:enabled/>
            <w:calcOnExit w:val="0"/>
            <w:checkBox>
              <w:sizeAuto/>
              <w:default w:val="0"/>
            </w:checkBox>
          </w:ffData>
        </w:fldChar>
      </w:r>
      <w:r w:rsidRPr="0086255B">
        <w:rPr>
          <w:rFonts w:eastAsia="Times New Roman" w:cstheme="minorHAnsi"/>
          <w:lang w:val="hr-HR" w:eastAsia="hr-HR" w:bidi="hr-HR"/>
        </w:rPr>
        <w:instrText xml:space="preserve"> FORMCHECKBOX </w:instrText>
      </w:r>
      <w:r>
        <w:rPr>
          <w:rFonts w:eastAsia="Times New Roman" w:cstheme="minorHAnsi"/>
          <w:lang w:val="hr-HR" w:eastAsia="hr-HR" w:bidi="hr-HR"/>
        </w:rPr>
      </w:r>
      <w:r>
        <w:rPr>
          <w:rFonts w:eastAsia="Times New Roman" w:cstheme="minorHAnsi"/>
          <w:lang w:val="hr-HR" w:eastAsia="hr-HR" w:bidi="hr-HR"/>
        </w:rPr>
        <w:fldChar w:fldCharType="separate"/>
      </w:r>
      <w:r w:rsidRPr="0086255B">
        <w:rPr>
          <w:rFonts w:eastAsia="Times New Roman" w:cstheme="minorHAnsi"/>
          <w:lang w:val="hr-HR" w:eastAsia="hr-HR" w:bidi="hr-HR"/>
        </w:rPr>
        <w:fldChar w:fldCharType="end"/>
      </w:r>
      <w:r w:rsidRPr="0086255B">
        <w:rPr>
          <w:rFonts w:eastAsia="Times New Roman" w:cstheme="minorHAnsi"/>
          <w:lang w:val="hr-HR" w:eastAsia="hr-HR" w:bidi="hr-HR"/>
        </w:rPr>
        <w:t xml:space="preserve">  postrojenje/mašine/oprema?</w:t>
      </w:r>
    </w:p>
    <w:p w14:paraId="2EDCAA46" w14:textId="77777777" w:rsidR="00B52467" w:rsidRPr="0086255B" w:rsidRDefault="00B52467" w:rsidP="00B52467">
      <w:pPr>
        <w:tabs>
          <w:tab w:val="num" w:pos="360"/>
        </w:tabs>
        <w:spacing w:before="120" w:after="120"/>
        <w:ind w:left="360"/>
        <w:jc w:val="both"/>
        <w:rPr>
          <w:rFonts w:eastAsia="Times New Roman" w:cstheme="minorHAnsi"/>
          <w:lang w:val="hr-HR" w:eastAsia="hr-HR" w:bidi="hr-HR"/>
        </w:rPr>
      </w:pPr>
      <w:r w:rsidRPr="0086255B">
        <w:rPr>
          <w:rFonts w:eastAsia="Times New Roman" w:cstheme="minorHAnsi"/>
          <w:lang w:val="hr-HR" w:eastAsia="hr-HR" w:bidi="hr-HR"/>
        </w:rPr>
        <w:lastRenderedPageBreak/>
        <w:t>Navedite upućivanje na odgovarajuće djelove pravnog osnova:</w:t>
      </w:r>
    </w:p>
    <w:p w14:paraId="627CFE11" w14:textId="77777777" w:rsidR="00B52467" w:rsidRPr="0086255B" w:rsidRDefault="00B52467" w:rsidP="00B52467">
      <w:pPr>
        <w:tabs>
          <w:tab w:val="left" w:pos="720"/>
          <w:tab w:val="left" w:pos="1440"/>
          <w:tab w:val="left" w:pos="1797"/>
        </w:tabs>
        <w:spacing w:before="120" w:after="120"/>
        <w:jc w:val="both"/>
        <w:rPr>
          <w:rFonts w:eastAsia="Times New Roman" w:cstheme="minorHAnsi"/>
          <w:lang w:val="hr-HR" w:eastAsia="hr-HR" w:bidi="hr-HR"/>
        </w:rPr>
      </w:pPr>
      <w:r w:rsidRPr="0086255B">
        <w:rPr>
          <w:rFonts w:eastAsia="Times New Roman" w:cstheme="minorHAnsi"/>
          <w:lang w:val="hr-HR" w:eastAsia="hr-HR" w:bidi="hr-HR"/>
        </w:rPr>
        <w:t>..................................................................................................................................................................</w:t>
      </w:r>
    </w:p>
    <w:p w14:paraId="702BCCAE" w14:textId="77777777" w:rsidR="00B52467" w:rsidRPr="0086255B" w:rsidRDefault="00B52467" w:rsidP="00B52467">
      <w:pPr>
        <w:numPr>
          <w:ilvl w:val="2"/>
          <w:numId w:val="3"/>
        </w:numPr>
        <w:spacing w:before="120" w:after="120" w:line="240" w:lineRule="auto"/>
        <w:ind w:left="720" w:hanging="720"/>
        <w:jc w:val="both"/>
        <w:rPr>
          <w:rFonts w:eastAsia="Times New Roman" w:cstheme="minorHAnsi"/>
          <w:bCs/>
          <w:lang w:val="hr-HR" w:eastAsia="hr-HR" w:bidi="hr-HR"/>
        </w:rPr>
      </w:pPr>
      <w:r w:rsidRPr="0086255B">
        <w:rPr>
          <w:rFonts w:eastAsia="Times New Roman" w:cstheme="minorHAnsi"/>
          <w:bCs/>
          <w:lang w:val="hr-HR" w:eastAsia="hr-HR" w:bidi="hr-HR"/>
        </w:rPr>
        <w:t>Navedite upućivanje na odgovarajuću odredbu pravnog osnova kojim je propisano da bi stečena imovina trebalo da bude nova</w:t>
      </w:r>
      <w:r w:rsidRPr="0086255B">
        <w:rPr>
          <w:rStyle w:val="FootnoteReference"/>
          <w:rFonts w:cstheme="minorHAnsi"/>
          <w:bCs/>
        </w:rPr>
        <w:footnoteReference w:id="18"/>
      </w:r>
      <w:r w:rsidRPr="0086255B">
        <w:rPr>
          <w:rFonts w:eastAsia="Times New Roman" w:cstheme="minorHAnsi"/>
          <w:bCs/>
          <w:lang w:val="hr-HR" w:eastAsia="hr-HR" w:bidi="hr-HR"/>
        </w:rPr>
        <w:t xml:space="preserve"> (tačka 27 RAG-a).</w:t>
      </w:r>
    </w:p>
    <w:p w14:paraId="5B582EBD" w14:textId="77777777" w:rsidR="00B52467" w:rsidRPr="0086255B" w:rsidRDefault="00B52467" w:rsidP="00B52467">
      <w:pPr>
        <w:tabs>
          <w:tab w:val="left" w:leader="dot" w:pos="9072"/>
        </w:tabs>
        <w:spacing w:before="120" w:after="120"/>
        <w:jc w:val="both"/>
        <w:rPr>
          <w:rFonts w:cstheme="minorHAnsi"/>
          <w:iCs/>
          <w:noProof/>
          <w:lang w:val="hr-HR" w:eastAsia="hr-HR" w:bidi="hr-HR"/>
        </w:rPr>
      </w:pPr>
      <w:r w:rsidRPr="0086255B">
        <w:rPr>
          <w:rFonts w:cstheme="minorHAnsi"/>
          <w:lang w:val="hr-HR" w:eastAsia="hr-HR" w:bidi="hr-HR"/>
        </w:rPr>
        <w:tab/>
      </w:r>
    </w:p>
    <w:p w14:paraId="6105E87E" w14:textId="77777777" w:rsidR="00B52467" w:rsidRPr="0086255B" w:rsidRDefault="00B52467" w:rsidP="00B52467">
      <w:pPr>
        <w:numPr>
          <w:ilvl w:val="2"/>
          <w:numId w:val="3"/>
        </w:numPr>
        <w:spacing w:before="120" w:after="120" w:line="240" w:lineRule="auto"/>
        <w:ind w:left="720" w:hanging="720"/>
        <w:jc w:val="both"/>
        <w:rPr>
          <w:rFonts w:eastAsia="Times New Roman" w:cstheme="minorHAnsi"/>
          <w:bCs/>
          <w:lang w:val="hr-HR" w:eastAsia="hr-HR" w:bidi="hr-HR"/>
        </w:rPr>
      </w:pPr>
      <w:r w:rsidRPr="0086255B">
        <w:rPr>
          <w:rFonts w:eastAsia="Times New Roman" w:cstheme="minorHAnsi"/>
          <w:bCs/>
          <w:lang w:val="hr-HR" w:eastAsia="hr-HR" w:bidi="hr-HR"/>
        </w:rPr>
        <w:t>Navedite upućivanje na odgovarajuću odredbu pravnog osnova kojim je propisano da se, u slučaju MSP-ova, najviše 50 % troškova pripremnih studija ili troškova konsultacija povezanih s ulaganjem može smatrati prihvatljivim troškovima (tačka 28 RAG-a).</w:t>
      </w:r>
    </w:p>
    <w:p w14:paraId="3AB50FD4" w14:textId="77777777" w:rsidR="00B52467" w:rsidRPr="0086255B" w:rsidRDefault="00B52467" w:rsidP="00B52467">
      <w:pPr>
        <w:tabs>
          <w:tab w:val="left" w:leader="dot" w:pos="9072"/>
        </w:tabs>
        <w:spacing w:before="120" w:after="120"/>
        <w:jc w:val="both"/>
        <w:rPr>
          <w:rFonts w:cstheme="minorHAnsi"/>
          <w:iCs/>
          <w:noProof/>
          <w:lang w:val="hr-HR" w:eastAsia="hr-HR" w:bidi="hr-HR"/>
        </w:rPr>
      </w:pPr>
      <w:r w:rsidRPr="0086255B">
        <w:rPr>
          <w:rFonts w:cstheme="minorHAnsi"/>
          <w:lang w:val="hr-HR" w:eastAsia="hr-HR" w:bidi="hr-HR"/>
        </w:rPr>
        <w:tab/>
      </w:r>
    </w:p>
    <w:p w14:paraId="4F2CFAA0" w14:textId="77777777" w:rsidR="00B52467" w:rsidRPr="0086255B" w:rsidRDefault="00B52467" w:rsidP="00B52467">
      <w:pPr>
        <w:numPr>
          <w:ilvl w:val="2"/>
          <w:numId w:val="3"/>
        </w:numPr>
        <w:spacing w:before="120" w:after="120" w:line="240" w:lineRule="auto"/>
        <w:ind w:left="720" w:hanging="720"/>
        <w:jc w:val="both"/>
        <w:rPr>
          <w:rFonts w:eastAsia="Times New Roman" w:cstheme="minorHAnsi"/>
          <w:bCs/>
          <w:lang w:val="hr-HR" w:eastAsia="hr-HR" w:bidi="hr-HR"/>
        </w:rPr>
      </w:pPr>
      <w:r w:rsidRPr="0086255B">
        <w:rPr>
          <w:rFonts w:eastAsia="Times New Roman" w:cstheme="minorHAnsi"/>
          <w:bCs/>
          <w:lang w:val="hr-HR" w:eastAsia="hr-HR" w:bidi="hr-HR"/>
        </w:rPr>
        <w:t>Navedite upućivanje na odgovarajuću odredbu pravnog osnova kojim je propisano da za pomoć dodijeljenu za fundamentalnu promjenu u proizvodnom procesu prihvatljivi troškovi prelaze amortizaciju imovine povezane s djelatnošću koja se modernizuje tokom tri prethodne poreske godine (tačka 29 RAG-a).</w:t>
      </w:r>
    </w:p>
    <w:p w14:paraId="0B97B853" w14:textId="77777777" w:rsidR="00B52467" w:rsidRPr="0086255B" w:rsidRDefault="00B52467" w:rsidP="00B52467">
      <w:pPr>
        <w:tabs>
          <w:tab w:val="left" w:leader="dot" w:pos="9072"/>
        </w:tabs>
        <w:spacing w:before="120" w:after="120"/>
        <w:jc w:val="both"/>
        <w:rPr>
          <w:rFonts w:cstheme="minorHAnsi"/>
          <w:iCs/>
          <w:noProof/>
          <w:lang w:val="hr-HR" w:eastAsia="hr-HR" w:bidi="hr-HR"/>
        </w:rPr>
      </w:pPr>
      <w:r w:rsidRPr="0086255B">
        <w:rPr>
          <w:rFonts w:cstheme="minorHAnsi"/>
          <w:lang w:val="hr-HR" w:eastAsia="hr-HR" w:bidi="hr-HR"/>
        </w:rPr>
        <w:tab/>
      </w:r>
    </w:p>
    <w:p w14:paraId="568706B7" w14:textId="77777777" w:rsidR="00B52467" w:rsidRPr="0086255B" w:rsidRDefault="00B52467" w:rsidP="00B52467">
      <w:pPr>
        <w:numPr>
          <w:ilvl w:val="2"/>
          <w:numId w:val="3"/>
        </w:numPr>
        <w:spacing w:before="120" w:after="120" w:line="240" w:lineRule="auto"/>
        <w:ind w:left="720" w:hanging="720"/>
        <w:jc w:val="both"/>
        <w:rPr>
          <w:rFonts w:eastAsia="Times New Roman" w:cstheme="minorHAnsi"/>
          <w:bCs/>
          <w:lang w:val="hr-HR" w:eastAsia="hr-HR" w:bidi="hr-HR"/>
        </w:rPr>
      </w:pPr>
      <w:r w:rsidRPr="0086255B">
        <w:rPr>
          <w:rFonts w:eastAsia="Times New Roman" w:cstheme="minorHAnsi"/>
          <w:bCs/>
          <w:lang w:val="hr-HR" w:eastAsia="hr-HR" w:bidi="hr-HR"/>
        </w:rPr>
        <w:t>Navedite upućivanje na odgovarajuću odredbu pravnog osnova kojom je propisano da za pomoć dodijeljenu za diversifikaciju postojeće poslovne jedinice prihvatljivi troškovi prelaze za najmanje 200 % knjigovodstvenu vrijednost imovine koja se ponovo upotrebljava, kako je uknjižena u fiskalnoj godini koja prethodi početku radova (tačka 30 RAG-a).</w:t>
      </w:r>
    </w:p>
    <w:p w14:paraId="15198E06" w14:textId="77777777" w:rsidR="00B52467" w:rsidRPr="0086255B" w:rsidRDefault="00B52467" w:rsidP="00B52467">
      <w:pPr>
        <w:tabs>
          <w:tab w:val="left" w:leader="dot" w:pos="9072"/>
        </w:tabs>
        <w:spacing w:before="120" w:after="120"/>
        <w:jc w:val="both"/>
        <w:rPr>
          <w:rFonts w:cstheme="minorHAnsi"/>
          <w:iCs/>
          <w:noProof/>
          <w:lang w:val="hr-HR" w:eastAsia="hr-HR" w:bidi="hr-HR"/>
        </w:rPr>
      </w:pPr>
      <w:r w:rsidRPr="0086255B">
        <w:rPr>
          <w:rFonts w:eastAsia="Times New Roman" w:cstheme="minorHAnsi"/>
          <w:bCs/>
          <w:lang w:val="hr-HR" w:eastAsia="hr-HR" w:bidi="hr-HR"/>
        </w:rPr>
        <w:t xml:space="preserve"> </w:t>
      </w:r>
      <w:r w:rsidRPr="0086255B">
        <w:rPr>
          <w:rFonts w:cstheme="minorHAnsi"/>
          <w:lang w:val="hr-HR" w:eastAsia="hr-HR" w:bidi="hr-HR"/>
        </w:rPr>
        <w:tab/>
      </w:r>
    </w:p>
    <w:p w14:paraId="106A331B" w14:textId="77777777" w:rsidR="00B52467" w:rsidRPr="0086255B" w:rsidRDefault="00B52467" w:rsidP="00B52467">
      <w:pPr>
        <w:numPr>
          <w:ilvl w:val="2"/>
          <w:numId w:val="3"/>
        </w:numPr>
        <w:spacing w:before="120" w:after="120" w:line="240" w:lineRule="auto"/>
        <w:ind w:left="720" w:hanging="720"/>
        <w:jc w:val="both"/>
        <w:rPr>
          <w:rFonts w:eastAsia="Times New Roman" w:cstheme="minorHAnsi"/>
          <w:bCs/>
          <w:lang w:val="hr-HR" w:eastAsia="hr-HR" w:bidi="hr-HR"/>
        </w:rPr>
      </w:pPr>
      <w:r w:rsidRPr="0086255B">
        <w:rPr>
          <w:rFonts w:eastAsia="Times New Roman" w:cstheme="minorHAnsi"/>
          <w:bCs/>
          <w:lang w:val="hr-HR" w:eastAsia="hr-HR" w:bidi="hr-HR"/>
        </w:rPr>
        <w:t xml:space="preserve">U slučajevima koji uključuju zakup materijalne imovine navedite upućivanje na odgovarajuće odredbe pravnog osnova kojima je propisano da bi trebalo da budu ispunjeni sljedeći uslovi (tačka 31 RAG-a): </w:t>
      </w:r>
    </w:p>
    <w:p w14:paraId="55374BC1" w14:textId="77777777" w:rsidR="00B52467" w:rsidRPr="0086255B" w:rsidRDefault="00B52467" w:rsidP="00B52467">
      <w:pPr>
        <w:numPr>
          <w:ilvl w:val="0"/>
          <w:numId w:val="6"/>
        </w:numPr>
        <w:spacing w:before="120" w:after="120" w:line="240" w:lineRule="auto"/>
        <w:ind w:left="720"/>
        <w:jc w:val="both"/>
        <w:rPr>
          <w:rFonts w:eastAsia="Times New Roman" w:cstheme="minorHAnsi"/>
          <w:bCs/>
          <w:lang w:val="hr-HR" w:eastAsia="hr-HR" w:bidi="hr-HR"/>
        </w:rPr>
      </w:pPr>
      <w:r w:rsidRPr="0086255B">
        <w:rPr>
          <w:rFonts w:eastAsia="Times New Roman" w:cstheme="minorHAnsi"/>
          <w:bCs/>
          <w:lang w:val="hr-HR" w:eastAsia="hr-HR" w:bidi="hr-HR"/>
        </w:rPr>
        <w:t>za zemljišta i zgrade zakup se za velika privredna društva mora nastaviti najmanje pet godina nakon očekivanog datuma završetka ulaganja odnosno tri godine za MSP-ove;</w:t>
      </w:r>
    </w:p>
    <w:p w14:paraId="456206C0" w14:textId="77777777" w:rsidR="00B52467" w:rsidRPr="0086255B" w:rsidRDefault="00B52467" w:rsidP="00B52467">
      <w:pPr>
        <w:spacing w:before="120" w:after="120"/>
        <w:jc w:val="both"/>
        <w:rPr>
          <w:rFonts w:eastAsia="Times New Roman" w:cstheme="minorHAnsi"/>
          <w:bCs/>
          <w:lang w:val="hr-HR" w:eastAsia="hr-HR" w:bidi="hr-HR"/>
        </w:rPr>
      </w:pPr>
      <w:r w:rsidRPr="0086255B">
        <w:rPr>
          <w:rFonts w:eastAsia="Times New Roman" w:cstheme="minorHAnsi"/>
          <w:bCs/>
          <w:lang w:val="hr-HR" w:eastAsia="hr-HR" w:bidi="hr-HR"/>
        </w:rPr>
        <w:t>..................................................................................................................................................................</w:t>
      </w:r>
    </w:p>
    <w:p w14:paraId="5CA9D335" w14:textId="77777777" w:rsidR="00B52467" w:rsidRPr="0086255B" w:rsidRDefault="00B52467" w:rsidP="00B52467">
      <w:pPr>
        <w:numPr>
          <w:ilvl w:val="0"/>
          <w:numId w:val="6"/>
        </w:numPr>
        <w:spacing w:before="120" w:after="120" w:line="240" w:lineRule="auto"/>
        <w:ind w:left="720"/>
        <w:jc w:val="both"/>
        <w:rPr>
          <w:rFonts w:eastAsia="Times New Roman" w:cstheme="minorHAnsi"/>
          <w:bCs/>
          <w:lang w:val="hr-HR" w:eastAsia="hr-HR" w:bidi="hr-HR"/>
        </w:rPr>
      </w:pPr>
      <w:r w:rsidRPr="0086255B">
        <w:rPr>
          <w:rFonts w:eastAsia="Times New Roman" w:cstheme="minorHAnsi"/>
          <w:bCs/>
          <w:lang w:val="hr-HR" w:eastAsia="hr-HR" w:bidi="hr-HR"/>
        </w:rPr>
        <w:t>za postrojenja ili mašine zakup mora biti u obliku finansijskog lizinga i mora da sadrži obavezu korisnika pomoći na kupovinu imovine nakon isteka ugovora o zakupu.</w:t>
      </w:r>
    </w:p>
    <w:p w14:paraId="7A1881D3" w14:textId="77777777" w:rsidR="00B52467" w:rsidRPr="0086255B" w:rsidRDefault="00B52467" w:rsidP="00B52467">
      <w:pPr>
        <w:spacing w:before="120" w:after="120"/>
        <w:jc w:val="both"/>
        <w:rPr>
          <w:rFonts w:eastAsia="Times New Roman" w:cstheme="minorHAnsi"/>
          <w:bCs/>
          <w:lang w:val="hr-HR" w:eastAsia="hr-HR" w:bidi="hr-HR"/>
        </w:rPr>
      </w:pPr>
      <w:r w:rsidRPr="0086255B">
        <w:rPr>
          <w:rFonts w:eastAsia="Times New Roman" w:cstheme="minorHAnsi"/>
          <w:bCs/>
          <w:lang w:val="hr-HR" w:eastAsia="hr-HR" w:bidi="hr-HR"/>
        </w:rPr>
        <w:t>..................................................................................................................................................................</w:t>
      </w:r>
    </w:p>
    <w:p w14:paraId="1939793C" w14:textId="77777777" w:rsidR="00B52467" w:rsidRPr="0086255B" w:rsidRDefault="00B52467" w:rsidP="00B52467">
      <w:pPr>
        <w:numPr>
          <w:ilvl w:val="2"/>
          <w:numId w:val="3"/>
        </w:numPr>
        <w:spacing w:before="120" w:after="120" w:line="240" w:lineRule="auto"/>
        <w:ind w:left="720" w:hanging="720"/>
        <w:jc w:val="both"/>
        <w:rPr>
          <w:rFonts w:eastAsia="Times New Roman" w:cstheme="minorHAnsi"/>
          <w:bCs/>
          <w:lang w:val="hr-HR" w:eastAsia="hr-HR" w:bidi="hr-HR"/>
        </w:rPr>
      </w:pPr>
      <w:r w:rsidRPr="0086255B">
        <w:rPr>
          <w:rFonts w:eastAsia="Times New Roman" w:cstheme="minorHAnsi"/>
          <w:bCs/>
          <w:lang w:val="hr-HR" w:eastAsia="hr-HR" w:bidi="hr-HR"/>
        </w:rPr>
        <w:t xml:space="preserve">Tačkom 32 RAG-a predviđeno je sljedeće: „u slučaju sticanja poslovne jedinice u obzir bi trebalo uzeti samo troškove kupovine imovine od strane trećeg lica koje nije povezano s kupcem. Međutim, ako malo preduzeće preuzme član porodice originalnog vlasnika ili zaposleni, ne primjenjuje se uslov da imovina mora biti kupljena od trećih lica nepovezanih sa kupcem. Transakcija se mora izvršiti po tržišnim uslovima. Ako sticanje imovine poslovne jedinice propraćeno dodatnim ulaganjem prihvatljivim za regionalnu pomoć, prihvatljivi troškovi tog dodatnog ulaganja trebaju biti dodati na trošak sticanja imovine poslovne jedinice.“ </w:t>
      </w:r>
    </w:p>
    <w:p w14:paraId="4CECB6C2" w14:textId="77777777" w:rsidR="00B52467" w:rsidRPr="0086255B" w:rsidRDefault="00B52467" w:rsidP="00B52467">
      <w:pPr>
        <w:spacing w:before="120" w:after="120"/>
        <w:ind w:left="360"/>
        <w:jc w:val="both"/>
        <w:rPr>
          <w:rFonts w:eastAsia="Times New Roman" w:cstheme="minorHAnsi"/>
          <w:bCs/>
          <w:lang w:val="hr-HR" w:eastAsia="hr-HR" w:bidi="hr-HR"/>
        </w:rPr>
      </w:pPr>
      <w:r w:rsidRPr="0086255B">
        <w:rPr>
          <w:rFonts w:eastAsia="Times New Roman" w:cstheme="minorHAnsi"/>
          <w:bCs/>
          <w:lang w:val="hr-HR" w:eastAsia="hr-HR" w:bidi="hr-HR"/>
        </w:rPr>
        <w:t>Ako je to relevantno za prijavljenu šemu, navedite upućivanje na odredbe pravnog osnova gdje je propisano da bi navedeni uslovi trebali biti ispunjeni.</w:t>
      </w:r>
    </w:p>
    <w:p w14:paraId="302C00A7" w14:textId="77777777" w:rsidR="00B52467" w:rsidRPr="0086255B" w:rsidRDefault="00B52467" w:rsidP="00B52467">
      <w:pPr>
        <w:spacing w:before="120" w:after="120"/>
        <w:jc w:val="both"/>
        <w:rPr>
          <w:rFonts w:eastAsia="Times New Roman" w:cstheme="minorHAnsi"/>
          <w:bCs/>
          <w:lang w:val="hr-HR" w:eastAsia="hr-HR" w:bidi="hr-HR"/>
        </w:rPr>
      </w:pPr>
      <w:r w:rsidRPr="0086255B">
        <w:rPr>
          <w:rFonts w:eastAsia="Times New Roman" w:cstheme="minorHAnsi"/>
          <w:bCs/>
          <w:lang w:val="hr-HR" w:eastAsia="hr-HR" w:bidi="hr-HR"/>
        </w:rPr>
        <w:lastRenderedPageBreak/>
        <w:t>..................................................................................................................................................................</w:t>
      </w:r>
    </w:p>
    <w:p w14:paraId="2321C7C8" w14:textId="77777777" w:rsidR="00B52467" w:rsidRPr="0086255B" w:rsidRDefault="00B52467" w:rsidP="00B52467">
      <w:pPr>
        <w:numPr>
          <w:ilvl w:val="2"/>
          <w:numId w:val="3"/>
        </w:numPr>
        <w:spacing w:before="120" w:after="120" w:line="240" w:lineRule="auto"/>
        <w:ind w:left="720" w:hanging="720"/>
        <w:jc w:val="both"/>
        <w:rPr>
          <w:rFonts w:eastAsia="Times New Roman" w:cstheme="minorHAnsi"/>
          <w:bCs/>
          <w:lang w:val="hr-HR" w:eastAsia="hr-HR" w:bidi="hr-HR"/>
        </w:rPr>
      </w:pPr>
      <w:r w:rsidRPr="0086255B">
        <w:rPr>
          <w:rFonts w:eastAsia="Times New Roman" w:cstheme="minorHAnsi"/>
          <w:bCs/>
          <w:lang w:val="hr-HR" w:eastAsia="hr-HR" w:bidi="hr-HR"/>
        </w:rPr>
        <w:t>Ako se prihvatljivi troškovi šeme odnose na nematerijalnu imovinu (tačka 19 podtačka 15 RAG-a), navedite utvrđuje li se vrijednost ulaganja na osnovu rashoda nastalih prenosom tehnologije prilikom sticanja patentnih prava, licenci, znanja i iskustva ili druge intelektualne svojine:</w:t>
      </w:r>
    </w:p>
    <w:p w14:paraId="61FA1793" w14:textId="77777777" w:rsidR="00B52467" w:rsidRPr="0086255B" w:rsidRDefault="00B52467" w:rsidP="00B52467">
      <w:pPr>
        <w:numPr>
          <w:ilvl w:val="0"/>
          <w:numId w:val="9"/>
        </w:numPr>
        <w:tabs>
          <w:tab w:val="left" w:pos="720"/>
          <w:tab w:val="left" w:pos="1440"/>
          <w:tab w:val="left" w:pos="1797"/>
        </w:tabs>
        <w:spacing w:before="120" w:after="120" w:line="240" w:lineRule="auto"/>
        <w:jc w:val="both"/>
        <w:rPr>
          <w:rFonts w:eastAsia="Times New Roman" w:cstheme="minorHAnsi"/>
          <w:lang w:val="hr-HR" w:eastAsia="hr-HR" w:bidi="hr-HR"/>
        </w:rPr>
      </w:pPr>
      <w:r w:rsidRPr="0086255B">
        <w:rPr>
          <w:rFonts w:eastAsia="Times New Roman" w:cstheme="minorHAnsi"/>
          <w:lang w:val="hr-HR" w:eastAsia="hr-HR" w:bidi="hr-HR"/>
        </w:rPr>
        <w:fldChar w:fldCharType="begin">
          <w:ffData>
            <w:name w:val="Check1"/>
            <w:enabled/>
            <w:calcOnExit w:val="0"/>
            <w:checkBox>
              <w:sizeAuto/>
              <w:default w:val="0"/>
            </w:checkBox>
          </w:ffData>
        </w:fldChar>
      </w:r>
      <w:r w:rsidRPr="0086255B">
        <w:rPr>
          <w:rFonts w:eastAsia="Times New Roman" w:cstheme="minorHAnsi"/>
          <w:lang w:val="hr-HR" w:eastAsia="hr-HR" w:bidi="hr-HR"/>
        </w:rPr>
        <w:instrText xml:space="preserve"> FORMCHECKBOX </w:instrText>
      </w:r>
      <w:r>
        <w:rPr>
          <w:rFonts w:eastAsia="Times New Roman" w:cstheme="minorHAnsi"/>
          <w:lang w:val="hr-HR" w:eastAsia="hr-HR" w:bidi="hr-HR"/>
        </w:rPr>
      </w:r>
      <w:r>
        <w:rPr>
          <w:rFonts w:eastAsia="Times New Roman" w:cstheme="minorHAnsi"/>
          <w:lang w:val="hr-HR" w:eastAsia="hr-HR" w:bidi="hr-HR"/>
        </w:rPr>
        <w:fldChar w:fldCharType="separate"/>
      </w:r>
      <w:r w:rsidRPr="0086255B">
        <w:rPr>
          <w:rFonts w:eastAsia="Times New Roman" w:cstheme="minorHAnsi"/>
          <w:lang w:val="hr-HR" w:eastAsia="hr-HR" w:bidi="hr-HR"/>
        </w:rPr>
        <w:fldChar w:fldCharType="end"/>
      </w:r>
      <w:r w:rsidRPr="0086255B">
        <w:rPr>
          <w:rFonts w:eastAsia="Times New Roman" w:cstheme="minorHAnsi"/>
          <w:lang w:val="hr-HR" w:eastAsia="hr-HR" w:bidi="hr-HR"/>
        </w:rPr>
        <w:t xml:space="preserve">  patentna prava</w:t>
      </w:r>
    </w:p>
    <w:p w14:paraId="52674D06" w14:textId="77777777" w:rsidR="00B52467" w:rsidRPr="0086255B" w:rsidRDefault="00B52467" w:rsidP="00B52467">
      <w:pPr>
        <w:numPr>
          <w:ilvl w:val="0"/>
          <w:numId w:val="9"/>
        </w:numPr>
        <w:tabs>
          <w:tab w:val="left" w:pos="720"/>
          <w:tab w:val="left" w:pos="1440"/>
          <w:tab w:val="left" w:pos="1797"/>
        </w:tabs>
        <w:spacing w:before="120" w:after="120" w:line="240" w:lineRule="auto"/>
        <w:jc w:val="both"/>
        <w:rPr>
          <w:rFonts w:eastAsia="Times New Roman" w:cstheme="minorHAnsi"/>
          <w:lang w:val="hr-HR" w:eastAsia="hr-HR" w:bidi="hr-HR"/>
        </w:rPr>
      </w:pPr>
      <w:r w:rsidRPr="0086255B">
        <w:rPr>
          <w:rFonts w:eastAsia="Times New Roman" w:cstheme="minorHAnsi"/>
          <w:lang w:val="hr-HR" w:eastAsia="hr-HR" w:bidi="hr-HR"/>
        </w:rPr>
        <w:fldChar w:fldCharType="begin">
          <w:ffData>
            <w:name w:val="Check1"/>
            <w:enabled/>
            <w:calcOnExit w:val="0"/>
            <w:checkBox>
              <w:sizeAuto/>
              <w:default w:val="0"/>
            </w:checkBox>
          </w:ffData>
        </w:fldChar>
      </w:r>
      <w:r w:rsidRPr="0086255B">
        <w:rPr>
          <w:rFonts w:eastAsia="Times New Roman" w:cstheme="minorHAnsi"/>
          <w:lang w:val="hr-HR" w:eastAsia="hr-HR" w:bidi="hr-HR"/>
        </w:rPr>
        <w:instrText xml:space="preserve"> FORMCHECKBOX </w:instrText>
      </w:r>
      <w:r>
        <w:rPr>
          <w:rFonts w:eastAsia="Times New Roman" w:cstheme="minorHAnsi"/>
          <w:lang w:val="hr-HR" w:eastAsia="hr-HR" w:bidi="hr-HR"/>
        </w:rPr>
      </w:r>
      <w:r>
        <w:rPr>
          <w:rFonts w:eastAsia="Times New Roman" w:cstheme="minorHAnsi"/>
          <w:lang w:val="hr-HR" w:eastAsia="hr-HR" w:bidi="hr-HR"/>
        </w:rPr>
        <w:fldChar w:fldCharType="separate"/>
      </w:r>
      <w:r w:rsidRPr="0086255B">
        <w:rPr>
          <w:rFonts w:eastAsia="Times New Roman" w:cstheme="minorHAnsi"/>
          <w:lang w:val="hr-HR" w:eastAsia="hr-HR" w:bidi="hr-HR"/>
        </w:rPr>
        <w:fldChar w:fldCharType="end"/>
      </w:r>
      <w:r w:rsidRPr="0086255B">
        <w:rPr>
          <w:rFonts w:eastAsia="Times New Roman" w:cstheme="minorHAnsi"/>
          <w:lang w:val="hr-HR" w:eastAsia="hr-HR" w:bidi="hr-HR"/>
        </w:rPr>
        <w:t xml:space="preserve">  licence </w:t>
      </w:r>
    </w:p>
    <w:p w14:paraId="6002CB3A" w14:textId="77777777" w:rsidR="00B52467" w:rsidRPr="0086255B" w:rsidRDefault="00B52467" w:rsidP="00B52467">
      <w:pPr>
        <w:numPr>
          <w:ilvl w:val="0"/>
          <w:numId w:val="9"/>
        </w:numPr>
        <w:tabs>
          <w:tab w:val="left" w:pos="720"/>
          <w:tab w:val="left" w:pos="1440"/>
          <w:tab w:val="left" w:pos="1797"/>
        </w:tabs>
        <w:spacing w:before="120" w:after="120" w:line="240" w:lineRule="auto"/>
        <w:jc w:val="both"/>
        <w:rPr>
          <w:rFonts w:eastAsia="Times New Roman" w:cstheme="minorHAnsi"/>
          <w:lang w:val="hr-HR" w:eastAsia="hr-HR" w:bidi="hr-HR"/>
        </w:rPr>
      </w:pPr>
      <w:r w:rsidRPr="0086255B">
        <w:rPr>
          <w:rFonts w:eastAsia="Times New Roman" w:cstheme="minorHAnsi"/>
          <w:lang w:val="hr-HR" w:eastAsia="hr-HR" w:bidi="hr-HR"/>
        </w:rPr>
        <w:fldChar w:fldCharType="begin">
          <w:ffData>
            <w:name w:val="Check1"/>
            <w:enabled/>
            <w:calcOnExit w:val="0"/>
            <w:checkBox>
              <w:sizeAuto/>
              <w:default w:val="0"/>
            </w:checkBox>
          </w:ffData>
        </w:fldChar>
      </w:r>
      <w:r w:rsidRPr="0086255B">
        <w:rPr>
          <w:rFonts w:eastAsia="Times New Roman" w:cstheme="minorHAnsi"/>
          <w:lang w:val="hr-HR" w:eastAsia="hr-HR" w:bidi="hr-HR"/>
        </w:rPr>
        <w:instrText xml:space="preserve"> FORMCHECKBOX </w:instrText>
      </w:r>
      <w:r>
        <w:rPr>
          <w:rFonts w:eastAsia="Times New Roman" w:cstheme="minorHAnsi"/>
          <w:lang w:val="hr-HR" w:eastAsia="hr-HR" w:bidi="hr-HR"/>
        </w:rPr>
      </w:r>
      <w:r>
        <w:rPr>
          <w:rFonts w:eastAsia="Times New Roman" w:cstheme="minorHAnsi"/>
          <w:lang w:val="hr-HR" w:eastAsia="hr-HR" w:bidi="hr-HR"/>
        </w:rPr>
        <w:fldChar w:fldCharType="separate"/>
      </w:r>
      <w:r w:rsidRPr="0086255B">
        <w:rPr>
          <w:rFonts w:eastAsia="Times New Roman" w:cstheme="minorHAnsi"/>
          <w:lang w:val="hr-HR" w:eastAsia="hr-HR" w:bidi="hr-HR"/>
        </w:rPr>
        <w:fldChar w:fldCharType="end"/>
      </w:r>
      <w:r w:rsidRPr="0086255B">
        <w:rPr>
          <w:rFonts w:eastAsia="Times New Roman" w:cstheme="minorHAnsi"/>
          <w:lang w:val="hr-HR" w:eastAsia="hr-HR" w:bidi="hr-HR"/>
        </w:rPr>
        <w:t xml:space="preserve">  znanje i iskustvo</w:t>
      </w:r>
    </w:p>
    <w:p w14:paraId="663B470F" w14:textId="77777777" w:rsidR="00B52467" w:rsidRPr="0086255B" w:rsidRDefault="00B52467" w:rsidP="00B52467">
      <w:pPr>
        <w:numPr>
          <w:ilvl w:val="0"/>
          <w:numId w:val="9"/>
        </w:numPr>
        <w:tabs>
          <w:tab w:val="left" w:pos="720"/>
          <w:tab w:val="left" w:pos="1440"/>
          <w:tab w:val="left" w:pos="1797"/>
        </w:tabs>
        <w:spacing w:before="120" w:after="120" w:line="240" w:lineRule="auto"/>
        <w:jc w:val="both"/>
        <w:rPr>
          <w:rFonts w:eastAsia="Times New Roman" w:cstheme="minorHAnsi"/>
          <w:lang w:val="hr-HR" w:eastAsia="hr-HR" w:bidi="hr-HR"/>
        </w:rPr>
      </w:pPr>
      <w:r w:rsidRPr="0086255B">
        <w:rPr>
          <w:rFonts w:eastAsia="Times New Roman" w:cstheme="minorHAnsi"/>
          <w:lang w:val="hr-HR" w:eastAsia="hr-HR" w:bidi="hr-HR"/>
        </w:rPr>
        <w:fldChar w:fldCharType="begin">
          <w:ffData>
            <w:name w:val="Check1"/>
            <w:enabled/>
            <w:calcOnExit w:val="0"/>
            <w:checkBox>
              <w:sizeAuto/>
              <w:default w:val="0"/>
            </w:checkBox>
          </w:ffData>
        </w:fldChar>
      </w:r>
      <w:r w:rsidRPr="0086255B">
        <w:rPr>
          <w:rFonts w:eastAsia="Times New Roman" w:cstheme="minorHAnsi"/>
          <w:lang w:val="hr-HR" w:eastAsia="hr-HR" w:bidi="hr-HR"/>
        </w:rPr>
        <w:instrText xml:space="preserve"> FORMCHECKBOX </w:instrText>
      </w:r>
      <w:r>
        <w:rPr>
          <w:rFonts w:eastAsia="Times New Roman" w:cstheme="minorHAnsi"/>
          <w:lang w:val="hr-HR" w:eastAsia="hr-HR" w:bidi="hr-HR"/>
        </w:rPr>
      </w:r>
      <w:r>
        <w:rPr>
          <w:rFonts w:eastAsia="Times New Roman" w:cstheme="minorHAnsi"/>
          <w:lang w:val="hr-HR" w:eastAsia="hr-HR" w:bidi="hr-HR"/>
        </w:rPr>
        <w:fldChar w:fldCharType="separate"/>
      </w:r>
      <w:r w:rsidRPr="0086255B">
        <w:rPr>
          <w:rFonts w:eastAsia="Times New Roman" w:cstheme="minorHAnsi"/>
          <w:lang w:val="hr-HR" w:eastAsia="hr-HR" w:bidi="hr-HR"/>
        </w:rPr>
        <w:fldChar w:fldCharType="end"/>
      </w:r>
      <w:r w:rsidRPr="0086255B">
        <w:rPr>
          <w:rFonts w:eastAsia="Times New Roman" w:cstheme="minorHAnsi"/>
          <w:lang w:val="hr-HR" w:eastAsia="hr-HR" w:bidi="hr-HR"/>
        </w:rPr>
        <w:t xml:space="preserve">  druga intelektualna svojina</w:t>
      </w:r>
    </w:p>
    <w:p w14:paraId="0B22063C" w14:textId="77777777" w:rsidR="00B52467" w:rsidRPr="0086255B" w:rsidRDefault="00B52467" w:rsidP="00B52467">
      <w:pPr>
        <w:spacing w:before="120" w:after="120"/>
        <w:ind w:left="360"/>
        <w:jc w:val="both"/>
        <w:rPr>
          <w:rFonts w:eastAsia="Times New Roman" w:cstheme="minorHAnsi"/>
          <w:lang w:val="hr-HR"/>
        </w:rPr>
      </w:pPr>
      <w:r w:rsidRPr="0086255B">
        <w:rPr>
          <w:rFonts w:eastAsia="Times New Roman" w:cstheme="minorHAnsi"/>
          <w:lang w:val="hr-HR"/>
        </w:rPr>
        <w:t>Navedite upućivanje na odgovarajuće djelove pravnog osnova:</w:t>
      </w:r>
    </w:p>
    <w:p w14:paraId="3355E1F9" w14:textId="77777777" w:rsidR="00B52467" w:rsidRPr="0086255B" w:rsidRDefault="00B52467" w:rsidP="00B52467">
      <w:pPr>
        <w:spacing w:before="120" w:after="120"/>
        <w:jc w:val="both"/>
        <w:rPr>
          <w:rFonts w:eastAsia="Times New Roman" w:cstheme="minorHAnsi"/>
          <w:lang w:val="hr-HR"/>
        </w:rPr>
      </w:pPr>
      <w:r w:rsidRPr="0086255B">
        <w:rPr>
          <w:rFonts w:eastAsia="Times New Roman" w:cstheme="minorHAnsi"/>
          <w:lang w:val="hr-HR"/>
        </w:rPr>
        <w:t>..................................................................................................................................................................</w:t>
      </w:r>
    </w:p>
    <w:p w14:paraId="00CACD73" w14:textId="77777777" w:rsidR="00B52467" w:rsidRPr="0086255B" w:rsidRDefault="00B52467" w:rsidP="00B52467">
      <w:pPr>
        <w:keepNext/>
        <w:numPr>
          <w:ilvl w:val="2"/>
          <w:numId w:val="3"/>
        </w:numPr>
        <w:spacing w:before="120" w:after="120" w:line="240" w:lineRule="auto"/>
        <w:ind w:left="720" w:hanging="720"/>
        <w:jc w:val="both"/>
        <w:rPr>
          <w:rFonts w:eastAsia="Times New Roman" w:cstheme="minorHAnsi"/>
          <w:bCs/>
          <w:lang w:val="hr-HR" w:eastAsia="hr-HR" w:bidi="hr-HR"/>
        </w:rPr>
      </w:pPr>
      <w:r w:rsidRPr="0086255B">
        <w:rPr>
          <w:rFonts w:eastAsia="Times New Roman" w:cstheme="minorHAnsi"/>
          <w:bCs/>
          <w:lang w:val="hr-HR" w:eastAsia="hr-HR" w:bidi="hr-HR"/>
        </w:rPr>
        <w:t>Navedite upućivanje na odgovarajuće odredbe pravnog osnova kojima je propisano da za velika privredna društva rashodi u ime ulaganja u nematerijalnu imovinu ne smiju prelaziti 50 % ukupnih prihvatljivih troškova ulaganja projekta (tačka 33 RAG-a).</w:t>
      </w:r>
    </w:p>
    <w:p w14:paraId="7F386CE5" w14:textId="77777777" w:rsidR="00B52467" w:rsidRPr="0086255B" w:rsidRDefault="00B52467" w:rsidP="00B52467">
      <w:pPr>
        <w:keepNext/>
        <w:spacing w:before="120" w:after="120"/>
        <w:jc w:val="both"/>
        <w:rPr>
          <w:rFonts w:eastAsia="Times New Roman" w:cstheme="minorHAnsi"/>
          <w:bCs/>
          <w:lang w:val="hr-HR" w:eastAsia="hr-HR" w:bidi="hr-HR"/>
        </w:rPr>
      </w:pPr>
      <w:r w:rsidRPr="0086255B">
        <w:rPr>
          <w:rFonts w:eastAsia="Times New Roman" w:cstheme="minorHAnsi"/>
          <w:bCs/>
          <w:lang w:val="hr-HR" w:eastAsia="hr-HR" w:bidi="hr-HR"/>
        </w:rPr>
        <w:t>..................................................................................................................................................................</w:t>
      </w:r>
    </w:p>
    <w:p w14:paraId="32B68F45" w14:textId="77777777" w:rsidR="00B52467" w:rsidRPr="0086255B" w:rsidRDefault="00B52467" w:rsidP="00B52467">
      <w:pPr>
        <w:numPr>
          <w:ilvl w:val="2"/>
          <w:numId w:val="3"/>
        </w:numPr>
        <w:spacing w:before="120" w:after="120" w:line="240" w:lineRule="auto"/>
        <w:ind w:left="720" w:hanging="720"/>
        <w:jc w:val="both"/>
        <w:rPr>
          <w:rFonts w:eastAsia="Times New Roman" w:cstheme="minorHAnsi"/>
          <w:bCs/>
          <w:lang w:val="hr-HR" w:eastAsia="hr-HR" w:bidi="hr-HR"/>
        </w:rPr>
      </w:pPr>
      <w:r w:rsidRPr="0086255B">
        <w:rPr>
          <w:rFonts w:eastAsia="Times New Roman" w:cstheme="minorHAnsi"/>
          <w:bCs/>
          <w:lang w:val="hr-HR" w:eastAsia="hr-HR" w:bidi="hr-HR"/>
        </w:rPr>
        <w:t>Navedite upućivanje na odgovarajuće odredbe pravnog osnova kojima je propisano da uslovi navedeni u tački 34 RAG-a</w:t>
      </w:r>
      <w:r w:rsidRPr="0086255B">
        <w:rPr>
          <w:rStyle w:val="FootnoteReference"/>
          <w:rFonts w:cstheme="minorHAnsi"/>
          <w:bCs/>
        </w:rPr>
        <w:footnoteReference w:id="19"/>
      </w:r>
      <w:r w:rsidRPr="0086255B">
        <w:rPr>
          <w:rFonts w:eastAsia="Times New Roman" w:cstheme="minorHAnsi"/>
          <w:bCs/>
          <w:lang w:val="hr-HR" w:eastAsia="hr-HR" w:bidi="hr-HR"/>
        </w:rPr>
        <w:t xml:space="preserve"> treba da budu ispunjeni.</w:t>
      </w:r>
    </w:p>
    <w:p w14:paraId="20A315AC" w14:textId="77777777" w:rsidR="00B52467" w:rsidRPr="0086255B" w:rsidRDefault="00B52467" w:rsidP="00B52467">
      <w:pPr>
        <w:spacing w:before="120" w:after="120"/>
        <w:jc w:val="both"/>
        <w:rPr>
          <w:rFonts w:eastAsia="Times New Roman" w:cstheme="minorHAnsi"/>
          <w:bCs/>
          <w:lang w:val="hr-HR" w:eastAsia="hr-HR" w:bidi="hr-HR"/>
        </w:rPr>
      </w:pPr>
      <w:r w:rsidRPr="0086255B">
        <w:rPr>
          <w:rFonts w:eastAsia="Times New Roman" w:cstheme="minorHAnsi"/>
          <w:bCs/>
          <w:lang w:val="hr-HR" w:eastAsia="hr-HR" w:bidi="hr-HR"/>
        </w:rPr>
        <w:t>..................................................................................................................................................................</w:t>
      </w:r>
    </w:p>
    <w:p w14:paraId="2B832587" w14:textId="77777777" w:rsidR="00B52467" w:rsidRPr="0086255B" w:rsidRDefault="00B52467" w:rsidP="00B52467">
      <w:pPr>
        <w:numPr>
          <w:ilvl w:val="1"/>
          <w:numId w:val="10"/>
        </w:numPr>
        <w:spacing w:before="120" w:after="120" w:line="240" w:lineRule="auto"/>
        <w:jc w:val="both"/>
        <w:rPr>
          <w:rFonts w:cstheme="minorHAnsi"/>
          <w:b/>
          <w:lang w:val="hr-HR" w:eastAsia="hr-HR" w:bidi="hr-HR"/>
        </w:rPr>
      </w:pPr>
      <w:r w:rsidRPr="0086255B">
        <w:rPr>
          <w:rFonts w:cstheme="minorHAnsi"/>
          <w:b/>
          <w:lang w:val="hr-HR" w:eastAsia="hr-HR" w:bidi="hr-HR"/>
        </w:rPr>
        <w:t xml:space="preserve"> Prihvatljivi troškovi na osnovu troškova zarada</w:t>
      </w:r>
    </w:p>
    <w:p w14:paraId="61436ECD" w14:textId="77777777" w:rsidR="00B52467" w:rsidRPr="0086255B" w:rsidRDefault="00B52467" w:rsidP="00B52467">
      <w:pPr>
        <w:numPr>
          <w:ilvl w:val="2"/>
          <w:numId w:val="10"/>
        </w:numPr>
        <w:spacing w:before="120" w:after="120" w:line="240" w:lineRule="auto"/>
        <w:jc w:val="both"/>
        <w:rPr>
          <w:rFonts w:eastAsia="Times New Roman" w:cstheme="minorHAnsi"/>
          <w:lang w:val="hr-HR" w:eastAsia="hr-HR" w:bidi="hr-HR"/>
        </w:rPr>
      </w:pPr>
      <w:r w:rsidRPr="0086255B">
        <w:rPr>
          <w:rFonts w:eastAsia="Times New Roman" w:cstheme="minorHAnsi"/>
          <w:bCs/>
          <w:lang w:val="hr-HR" w:eastAsia="hr-HR" w:bidi="hr-HR"/>
        </w:rPr>
        <w:t>Navedite upućivanje na odgovarajuće odredbe pravnog osnova kojima je propisan način određivanja prihvatljivih troškova izračunatih na osnovu zarada (tačka 35 RAG-a), načina obračuna broja novih radnih mjesta upućivanjem na tačku 19 podtačku 16 RAG-a i način utvrđivanja troškova zarada zaposlenih osoba upućivanjem na tačku 19 podtačku 33 RAG-a.</w:t>
      </w:r>
    </w:p>
    <w:p w14:paraId="72FEA89A" w14:textId="77777777" w:rsidR="00B52467" w:rsidRPr="0086255B" w:rsidRDefault="00B52467" w:rsidP="00B52467">
      <w:pPr>
        <w:numPr>
          <w:ilvl w:val="1"/>
          <w:numId w:val="10"/>
        </w:numPr>
        <w:spacing w:before="120" w:after="120" w:line="240" w:lineRule="auto"/>
        <w:jc w:val="both"/>
        <w:rPr>
          <w:rFonts w:cstheme="minorHAnsi"/>
          <w:b/>
          <w:lang w:val="hr-HR" w:eastAsia="hr-HR" w:bidi="hr-HR"/>
        </w:rPr>
      </w:pPr>
      <w:r w:rsidRPr="0086255B">
        <w:rPr>
          <w:rFonts w:cstheme="minorHAnsi"/>
          <w:b/>
          <w:lang w:val="hr-HR" w:eastAsia="hr-HR" w:bidi="hr-HR"/>
        </w:rPr>
        <w:t xml:space="preserve"> Obračun diskontovane vrijednosti prihvatljivih troškova</w:t>
      </w:r>
    </w:p>
    <w:p w14:paraId="2E971EFF" w14:textId="77777777" w:rsidR="00B52467" w:rsidRPr="0086255B" w:rsidRDefault="00B52467" w:rsidP="00B52467">
      <w:pPr>
        <w:numPr>
          <w:ilvl w:val="2"/>
          <w:numId w:val="10"/>
        </w:numPr>
        <w:spacing w:before="120" w:after="120" w:line="240" w:lineRule="auto"/>
        <w:ind w:left="0" w:firstLine="0"/>
        <w:jc w:val="both"/>
        <w:rPr>
          <w:rFonts w:cstheme="minorHAnsi"/>
          <w:lang w:val="hr-HR" w:eastAsia="hr-HR" w:bidi="hr-HR"/>
        </w:rPr>
      </w:pPr>
      <w:r w:rsidRPr="0086255B">
        <w:rPr>
          <w:rFonts w:cstheme="minorHAnsi"/>
          <w:lang w:val="hr-HR" w:eastAsia="hr-HR" w:bidi="hr-HR"/>
        </w:rPr>
        <w:t>Navedite koji su oblici pomoći dozvoljeni u sklopu šeme pomoći:</w:t>
      </w:r>
    </w:p>
    <w:p w14:paraId="768CEAA2" w14:textId="77777777" w:rsidR="00B52467" w:rsidRPr="0086255B" w:rsidRDefault="00B52467" w:rsidP="00B52467">
      <w:pPr>
        <w:spacing w:before="120" w:after="120"/>
        <w:contextualSpacing/>
        <w:jc w:val="both"/>
        <w:rPr>
          <w:rFonts w:cstheme="minorHAnsi"/>
          <w:lang w:val="hr-HR" w:eastAsia="hr-HR" w:bidi="hr-HR"/>
        </w:rPr>
      </w:pPr>
    </w:p>
    <w:p w14:paraId="17124C6E" w14:textId="77777777" w:rsidR="00B52467" w:rsidRPr="0086255B" w:rsidRDefault="00B52467" w:rsidP="00B52467">
      <w:pPr>
        <w:numPr>
          <w:ilvl w:val="0"/>
          <w:numId w:val="9"/>
        </w:numPr>
        <w:tabs>
          <w:tab w:val="left" w:pos="720"/>
          <w:tab w:val="left" w:pos="1440"/>
          <w:tab w:val="left" w:pos="1797"/>
        </w:tabs>
        <w:spacing w:before="120" w:after="120" w:line="240" w:lineRule="auto"/>
        <w:jc w:val="both"/>
        <w:rPr>
          <w:rFonts w:eastAsia="Times New Roman" w:cstheme="minorHAnsi"/>
          <w:lang w:val="hr-HR" w:eastAsia="hr-HR" w:bidi="hr-HR"/>
        </w:rPr>
      </w:pPr>
      <w:r w:rsidRPr="0086255B">
        <w:rPr>
          <w:rFonts w:eastAsia="Times New Roman" w:cstheme="minorHAnsi"/>
          <w:lang w:val="hr-HR" w:eastAsia="hr-HR" w:bidi="hr-HR"/>
        </w:rPr>
        <w:fldChar w:fldCharType="begin">
          <w:ffData>
            <w:name w:val="Check1"/>
            <w:enabled/>
            <w:calcOnExit w:val="0"/>
            <w:checkBox>
              <w:sizeAuto/>
              <w:default w:val="0"/>
            </w:checkBox>
          </w:ffData>
        </w:fldChar>
      </w:r>
      <w:r w:rsidRPr="0086255B">
        <w:rPr>
          <w:rFonts w:eastAsia="Times New Roman" w:cstheme="minorHAnsi"/>
          <w:lang w:val="hr-HR" w:eastAsia="hr-HR" w:bidi="hr-HR"/>
        </w:rPr>
        <w:instrText xml:space="preserve"> FORMCHECKBOX </w:instrText>
      </w:r>
      <w:r>
        <w:rPr>
          <w:rFonts w:eastAsia="Times New Roman" w:cstheme="minorHAnsi"/>
          <w:lang w:val="hr-HR" w:eastAsia="hr-HR" w:bidi="hr-HR"/>
        </w:rPr>
      </w:r>
      <w:r>
        <w:rPr>
          <w:rFonts w:eastAsia="Times New Roman" w:cstheme="minorHAnsi"/>
          <w:lang w:val="hr-HR" w:eastAsia="hr-HR" w:bidi="hr-HR"/>
        </w:rPr>
        <w:fldChar w:fldCharType="separate"/>
      </w:r>
      <w:r w:rsidRPr="0086255B">
        <w:rPr>
          <w:rFonts w:eastAsia="Times New Roman" w:cstheme="minorHAnsi"/>
          <w:lang w:val="hr-HR" w:eastAsia="hr-HR" w:bidi="hr-HR"/>
        </w:rPr>
        <w:fldChar w:fldCharType="end"/>
      </w:r>
      <w:r>
        <w:rPr>
          <w:rFonts w:eastAsia="Times New Roman" w:cstheme="minorHAnsi"/>
          <w:lang w:val="hr-HR" w:eastAsia="hr-HR" w:bidi="hr-HR"/>
        </w:rPr>
        <w:t xml:space="preserve"> </w:t>
      </w:r>
      <w:r w:rsidRPr="0086255B">
        <w:rPr>
          <w:rFonts w:eastAsia="Times New Roman" w:cstheme="minorHAnsi"/>
          <w:lang w:val="hr-HR" w:eastAsia="hr-HR" w:bidi="hr-HR"/>
        </w:rPr>
        <w:t>bespovratna sredstva. Navedite upućivanje na odgovarajuće odredbe pravnog osnova:</w:t>
      </w:r>
    </w:p>
    <w:p w14:paraId="340AC9F0" w14:textId="77777777" w:rsidR="00B52467" w:rsidRPr="0086255B" w:rsidRDefault="00B52467" w:rsidP="00B52467">
      <w:pPr>
        <w:tabs>
          <w:tab w:val="left" w:pos="720"/>
          <w:tab w:val="left" w:pos="1077"/>
          <w:tab w:val="left" w:leader="dot" w:pos="9072"/>
        </w:tabs>
        <w:spacing w:before="120" w:after="120"/>
        <w:jc w:val="both"/>
        <w:rPr>
          <w:rFonts w:eastAsia="Times New Roman" w:cstheme="minorHAnsi"/>
          <w:lang w:bidi="si-LK"/>
        </w:rPr>
      </w:pPr>
      <w:r w:rsidRPr="0086255B">
        <w:rPr>
          <w:rFonts w:eastAsia="Times New Roman" w:cstheme="minorHAnsi"/>
          <w:lang w:bidi="si-LK"/>
        </w:rPr>
        <w:t>..................................................................................................................................................................</w:t>
      </w:r>
    </w:p>
    <w:p w14:paraId="1CF1DBF3" w14:textId="77777777" w:rsidR="00B52467" w:rsidRPr="0086255B" w:rsidRDefault="00B52467" w:rsidP="00B52467">
      <w:pPr>
        <w:numPr>
          <w:ilvl w:val="0"/>
          <w:numId w:val="9"/>
        </w:numPr>
        <w:tabs>
          <w:tab w:val="left" w:pos="720"/>
          <w:tab w:val="left" w:pos="1440"/>
          <w:tab w:val="left" w:pos="1797"/>
        </w:tabs>
        <w:spacing w:before="120" w:after="120" w:line="240" w:lineRule="auto"/>
        <w:jc w:val="both"/>
        <w:rPr>
          <w:rFonts w:eastAsia="Times New Roman" w:cstheme="minorHAnsi"/>
          <w:lang w:val="hr-HR" w:eastAsia="hr-HR" w:bidi="hr-HR"/>
        </w:rPr>
      </w:pPr>
      <w:r w:rsidRPr="0086255B">
        <w:rPr>
          <w:rFonts w:eastAsia="Times New Roman" w:cstheme="minorHAnsi"/>
          <w:lang w:val="hr-HR" w:eastAsia="hr-HR" w:bidi="hr-HR"/>
        </w:rPr>
        <w:fldChar w:fldCharType="begin">
          <w:ffData>
            <w:name w:val="Check1"/>
            <w:enabled/>
            <w:calcOnExit w:val="0"/>
            <w:checkBox>
              <w:sizeAuto/>
              <w:default w:val="0"/>
            </w:checkBox>
          </w:ffData>
        </w:fldChar>
      </w:r>
      <w:r w:rsidRPr="0086255B">
        <w:rPr>
          <w:rFonts w:eastAsia="Times New Roman" w:cstheme="minorHAnsi"/>
          <w:lang w:val="hr-HR" w:eastAsia="hr-HR" w:bidi="hr-HR"/>
        </w:rPr>
        <w:instrText xml:space="preserve"> FORMCHECKBOX </w:instrText>
      </w:r>
      <w:r>
        <w:rPr>
          <w:rFonts w:eastAsia="Times New Roman" w:cstheme="minorHAnsi"/>
          <w:lang w:val="hr-HR" w:eastAsia="hr-HR" w:bidi="hr-HR"/>
        </w:rPr>
      </w:r>
      <w:r>
        <w:rPr>
          <w:rFonts w:eastAsia="Times New Roman" w:cstheme="minorHAnsi"/>
          <w:lang w:val="hr-HR" w:eastAsia="hr-HR" w:bidi="hr-HR"/>
        </w:rPr>
        <w:fldChar w:fldCharType="separate"/>
      </w:r>
      <w:r w:rsidRPr="0086255B">
        <w:rPr>
          <w:rFonts w:eastAsia="Times New Roman" w:cstheme="minorHAnsi"/>
          <w:lang w:val="hr-HR" w:eastAsia="hr-HR" w:bidi="hr-HR"/>
        </w:rPr>
        <w:fldChar w:fldCharType="end"/>
      </w:r>
      <w:r>
        <w:rPr>
          <w:rFonts w:eastAsia="Times New Roman" w:cstheme="minorHAnsi"/>
          <w:lang w:val="hr-HR" w:eastAsia="hr-HR" w:bidi="hr-HR"/>
        </w:rPr>
        <w:t xml:space="preserve"> </w:t>
      </w:r>
      <w:r w:rsidRPr="0086255B">
        <w:rPr>
          <w:rFonts w:eastAsia="Times New Roman" w:cstheme="minorHAnsi"/>
          <w:lang w:val="hr-HR" w:eastAsia="hr-HR" w:bidi="hr-HR"/>
        </w:rPr>
        <w:t>zajmovi.</w:t>
      </w:r>
      <w:r>
        <w:rPr>
          <w:rFonts w:eastAsia="Times New Roman" w:cstheme="minorHAnsi"/>
          <w:lang w:val="hr-HR" w:eastAsia="hr-HR" w:bidi="hr-HR"/>
        </w:rPr>
        <w:t xml:space="preserve"> </w:t>
      </w:r>
      <w:r w:rsidRPr="0086255B">
        <w:rPr>
          <w:rFonts w:eastAsia="Times New Roman" w:cstheme="minorHAnsi"/>
          <w:lang w:val="hr-HR" w:eastAsia="hr-HR" w:bidi="hr-HR"/>
        </w:rPr>
        <w:t>Navedite način obračuna ekvivalenta bespovratnih sredstava i upućivanje na odgovarajuće odredbe pravnog osnova:</w:t>
      </w:r>
    </w:p>
    <w:p w14:paraId="058FB201" w14:textId="77777777" w:rsidR="00B52467" w:rsidRPr="0086255B" w:rsidRDefault="00B52467" w:rsidP="00B52467">
      <w:pPr>
        <w:tabs>
          <w:tab w:val="left" w:pos="720"/>
          <w:tab w:val="left" w:pos="1077"/>
          <w:tab w:val="left" w:leader="dot" w:pos="9072"/>
        </w:tabs>
        <w:spacing w:before="120" w:after="120"/>
        <w:jc w:val="both"/>
        <w:rPr>
          <w:rFonts w:eastAsia="Times New Roman" w:cstheme="minorHAnsi"/>
          <w:lang w:bidi="si-LK"/>
        </w:rPr>
      </w:pPr>
      <w:r w:rsidRPr="0086255B">
        <w:rPr>
          <w:rFonts w:eastAsia="Times New Roman" w:cstheme="minorHAnsi"/>
          <w:lang w:bidi="si-LK"/>
        </w:rPr>
        <w:t>..................................................................................................................................................................</w:t>
      </w:r>
    </w:p>
    <w:p w14:paraId="74AC70BB" w14:textId="77777777" w:rsidR="00B52467" w:rsidRPr="0086255B" w:rsidRDefault="00B52467" w:rsidP="00B52467">
      <w:pPr>
        <w:numPr>
          <w:ilvl w:val="0"/>
          <w:numId w:val="9"/>
        </w:numPr>
        <w:tabs>
          <w:tab w:val="left" w:pos="720"/>
          <w:tab w:val="left" w:pos="1440"/>
          <w:tab w:val="left" w:pos="1797"/>
        </w:tabs>
        <w:spacing w:before="120" w:after="120" w:line="240" w:lineRule="auto"/>
        <w:jc w:val="both"/>
        <w:rPr>
          <w:rFonts w:eastAsia="Times New Roman" w:cstheme="minorHAnsi"/>
          <w:lang w:val="hr-HR" w:eastAsia="hr-HR" w:bidi="hr-HR"/>
        </w:rPr>
      </w:pPr>
      <w:r w:rsidRPr="0086255B">
        <w:rPr>
          <w:rFonts w:eastAsia="Times New Roman" w:cstheme="minorHAnsi"/>
          <w:lang w:val="hr-HR" w:eastAsia="hr-HR" w:bidi="hr-HR"/>
        </w:rPr>
        <w:lastRenderedPageBreak/>
        <w:fldChar w:fldCharType="begin">
          <w:ffData>
            <w:name w:val="Check1"/>
            <w:enabled/>
            <w:calcOnExit w:val="0"/>
            <w:checkBox>
              <w:sizeAuto/>
              <w:default w:val="0"/>
            </w:checkBox>
          </w:ffData>
        </w:fldChar>
      </w:r>
      <w:r w:rsidRPr="0086255B">
        <w:rPr>
          <w:rFonts w:eastAsia="Times New Roman" w:cstheme="minorHAnsi"/>
          <w:lang w:val="hr-HR" w:eastAsia="hr-HR" w:bidi="hr-HR"/>
        </w:rPr>
        <w:instrText xml:space="preserve"> FORMCHECKBOX </w:instrText>
      </w:r>
      <w:r>
        <w:rPr>
          <w:rFonts w:eastAsia="Times New Roman" w:cstheme="minorHAnsi"/>
          <w:lang w:val="hr-HR" w:eastAsia="hr-HR" w:bidi="hr-HR"/>
        </w:rPr>
      </w:r>
      <w:r>
        <w:rPr>
          <w:rFonts w:eastAsia="Times New Roman" w:cstheme="minorHAnsi"/>
          <w:lang w:val="hr-HR" w:eastAsia="hr-HR" w:bidi="hr-HR"/>
        </w:rPr>
        <w:fldChar w:fldCharType="separate"/>
      </w:r>
      <w:r w:rsidRPr="0086255B">
        <w:rPr>
          <w:rFonts w:eastAsia="Times New Roman" w:cstheme="minorHAnsi"/>
          <w:lang w:val="hr-HR" w:eastAsia="hr-HR" w:bidi="hr-HR"/>
        </w:rPr>
        <w:fldChar w:fldCharType="end"/>
      </w:r>
      <w:r>
        <w:rPr>
          <w:rFonts w:eastAsia="Times New Roman" w:cstheme="minorHAnsi"/>
          <w:lang w:val="hr-HR" w:eastAsia="hr-HR" w:bidi="hr-HR"/>
        </w:rPr>
        <w:t xml:space="preserve"> </w:t>
      </w:r>
      <w:r w:rsidRPr="0086255B">
        <w:rPr>
          <w:rFonts w:eastAsia="Times New Roman" w:cstheme="minorHAnsi"/>
          <w:lang w:val="hr-HR" w:eastAsia="hr-HR" w:bidi="hr-HR"/>
        </w:rPr>
        <w:t>garancije. Navedite način izračunavanja ekvivalenta bespovratnih sredstava i upućivanje na odgovarajuće odredbe pravnog osnova:</w:t>
      </w:r>
    </w:p>
    <w:p w14:paraId="166DA1C2" w14:textId="77777777" w:rsidR="00B52467" w:rsidRPr="0086255B" w:rsidRDefault="00B52467" w:rsidP="00B52467">
      <w:pPr>
        <w:tabs>
          <w:tab w:val="left" w:pos="720"/>
          <w:tab w:val="left" w:pos="1077"/>
          <w:tab w:val="left" w:leader="dot" w:pos="9072"/>
        </w:tabs>
        <w:spacing w:before="120" w:after="120"/>
        <w:jc w:val="both"/>
        <w:rPr>
          <w:rFonts w:eastAsia="Times New Roman" w:cstheme="minorHAnsi"/>
          <w:lang w:bidi="si-LK"/>
        </w:rPr>
      </w:pPr>
      <w:r w:rsidRPr="0086255B">
        <w:rPr>
          <w:rFonts w:eastAsia="Times New Roman" w:cstheme="minorHAnsi"/>
          <w:lang w:bidi="si-LK"/>
        </w:rPr>
        <w:t>..................................................................................................................................................................</w:t>
      </w:r>
    </w:p>
    <w:p w14:paraId="06E351A4" w14:textId="77777777" w:rsidR="00B52467" w:rsidRPr="0086255B" w:rsidRDefault="00B52467" w:rsidP="00B52467">
      <w:pPr>
        <w:numPr>
          <w:ilvl w:val="0"/>
          <w:numId w:val="9"/>
        </w:numPr>
        <w:tabs>
          <w:tab w:val="left" w:pos="720"/>
          <w:tab w:val="left" w:pos="1440"/>
          <w:tab w:val="left" w:pos="1797"/>
        </w:tabs>
        <w:spacing w:before="120" w:after="120" w:line="240" w:lineRule="auto"/>
        <w:jc w:val="both"/>
        <w:rPr>
          <w:rFonts w:eastAsia="Times New Roman" w:cstheme="minorHAnsi"/>
          <w:lang w:val="hr-HR" w:eastAsia="hr-HR" w:bidi="hr-HR"/>
        </w:rPr>
      </w:pPr>
      <w:r w:rsidRPr="0086255B">
        <w:rPr>
          <w:rFonts w:eastAsia="Times New Roman" w:cstheme="minorHAnsi"/>
          <w:lang w:val="hr-HR" w:eastAsia="hr-HR" w:bidi="hr-HR"/>
        </w:rPr>
        <w:fldChar w:fldCharType="begin">
          <w:ffData>
            <w:name w:val="Check1"/>
            <w:enabled/>
            <w:calcOnExit w:val="0"/>
            <w:checkBox>
              <w:sizeAuto/>
              <w:default w:val="0"/>
            </w:checkBox>
          </w:ffData>
        </w:fldChar>
      </w:r>
      <w:r w:rsidRPr="0086255B">
        <w:rPr>
          <w:rFonts w:eastAsia="Times New Roman" w:cstheme="minorHAnsi"/>
          <w:lang w:val="hr-HR" w:eastAsia="hr-HR" w:bidi="hr-HR"/>
        </w:rPr>
        <w:instrText xml:space="preserve"> FORMCHECKBOX </w:instrText>
      </w:r>
      <w:r>
        <w:rPr>
          <w:rFonts w:eastAsia="Times New Roman" w:cstheme="minorHAnsi"/>
          <w:lang w:val="hr-HR" w:eastAsia="hr-HR" w:bidi="hr-HR"/>
        </w:rPr>
      </w:r>
      <w:r>
        <w:rPr>
          <w:rFonts w:eastAsia="Times New Roman" w:cstheme="minorHAnsi"/>
          <w:lang w:val="hr-HR" w:eastAsia="hr-HR" w:bidi="hr-HR"/>
        </w:rPr>
        <w:fldChar w:fldCharType="separate"/>
      </w:r>
      <w:r w:rsidRPr="0086255B">
        <w:rPr>
          <w:rFonts w:eastAsia="Times New Roman" w:cstheme="minorHAnsi"/>
          <w:lang w:val="hr-HR" w:eastAsia="hr-HR" w:bidi="hr-HR"/>
        </w:rPr>
        <w:fldChar w:fldCharType="end"/>
      </w:r>
      <w:r>
        <w:rPr>
          <w:rFonts w:eastAsia="Times New Roman" w:cstheme="minorHAnsi"/>
          <w:lang w:val="hr-HR" w:eastAsia="hr-HR" w:bidi="hr-HR"/>
        </w:rPr>
        <w:t xml:space="preserve"> </w:t>
      </w:r>
      <w:r w:rsidRPr="0086255B">
        <w:rPr>
          <w:rFonts w:eastAsia="Times New Roman" w:cstheme="minorHAnsi"/>
          <w:lang w:val="hr-HR" w:eastAsia="hr-HR" w:bidi="hr-HR"/>
        </w:rPr>
        <w:t>poreske olakšice. Navedite vrstu mjera i način izračunavanja ekvivalenta bespovratnih sredstava. Navedite i upućivanje na odgovarajuće odredbe pravnog osnova:</w:t>
      </w:r>
    </w:p>
    <w:p w14:paraId="59BFC2F7" w14:textId="77777777" w:rsidR="00B52467" w:rsidRPr="0086255B" w:rsidRDefault="00B52467" w:rsidP="00B52467">
      <w:pPr>
        <w:tabs>
          <w:tab w:val="left" w:pos="720"/>
          <w:tab w:val="left" w:pos="1077"/>
          <w:tab w:val="left" w:leader="dot" w:pos="9072"/>
        </w:tabs>
        <w:spacing w:before="120" w:after="120"/>
        <w:jc w:val="both"/>
        <w:rPr>
          <w:rFonts w:eastAsia="Times New Roman" w:cstheme="minorHAnsi"/>
          <w:lang w:bidi="si-LK"/>
        </w:rPr>
      </w:pPr>
      <w:r w:rsidRPr="0086255B">
        <w:rPr>
          <w:rFonts w:eastAsia="Times New Roman" w:cstheme="minorHAnsi"/>
          <w:lang w:bidi="si-LK"/>
        </w:rPr>
        <w:t>..................................................................................................................................................................</w:t>
      </w:r>
    </w:p>
    <w:p w14:paraId="2CA75506" w14:textId="77777777" w:rsidR="00B52467" w:rsidRPr="0086255B" w:rsidRDefault="00B52467" w:rsidP="00B52467">
      <w:pPr>
        <w:numPr>
          <w:ilvl w:val="0"/>
          <w:numId w:val="9"/>
        </w:numPr>
        <w:tabs>
          <w:tab w:val="left" w:pos="720"/>
          <w:tab w:val="left" w:pos="1440"/>
          <w:tab w:val="left" w:pos="1797"/>
        </w:tabs>
        <w:spacing w:before="120" w:after="120" w:line="240" w:lineRule="auto"/>
        <w:jc w:val="both"/>
        <w:rPr>
          <w:rFonts w:eastAsia="Times New Roman" w:cstheme="minorHAnsi"/>
          <w:lang w:val="hr-HR" w:eastAsia="hr-HR" w:bidi="hr-HR"/>
        </w:rPr>
      </w:pPr>
      <w:r w:rsidRPr="0086255B">
        <w:rPr>
          <w:rFonts w:eastAsia="Times New Roman" w:cstheme="minorHAnsi"/>
          <w:lang w:val="hr-HR" w:eastAsia="hr-HR" w:bidi="hr-HR"/>
        </w:rPr>
        <w:fldChar w:fldCharType="begin">
          <w:ffData>
            <w:name w:val="Check1"/>
            <w:enabled/>
            <w:calcOnExit w:val="0"/>
            <w:checkBox>
              <w:sizeAuto/>
              <w:default w:val="0"/>
            </w:checkBox>
          </w:ffData>
        </w:fldChar>
      </w:r>
      <w:r w:rsidRPr="0086255B">
        <w:rPr>
          <w:rFonts w:eastAsia="Times New Roman" w:cstheme="minorHAnsi"/>
          <w:lang w:val="hr-HR" w:eastAsia="hr-HR" w:bidi="hr-HR"/>
        </w:rPr>
        <w:instrText xml:space="preserve"> FORMCHECKBOX </w:instrText>
      </w:r>
      <w:r>
        <w:rPr>
          <w:rFonts w:eastAsia="Times New Roman" w:cstheme="minorHAnsi"/>
          <w:lang w:val="hr-HR" w:eastAsia="hr-HR" w:bidi="hr-HR"/>
        </w:rPr>
      </w:r>
      <w:r>
        <w:rPr>
          <w:rFonts w:eastAsia="Times New Roman" w:cstheme="minorHAnsi"/>
          <w:lang w:val="hr-HR" w:eastAsia="hr-HR" w:bidi="hr-HR"/>
        </w:rPr>
        <w:fldChar w:fldCharType="separate"/>
      </w:r>
      <w:r w:rsidRPr="0086255B">
        <w:rPr>
          <w:rFonts w:eastAsia="Times New Roman" w:cstheme="minorHAnsi"/>
          <w:lang w:val="hr-HR" w:eastAsia="hr-HR" w:bidi="hr-HR"/>
        </w:rPr>
        <w:fldChar w:fldCharType="end"/>
      </w:r>
      <w:r>
        <w:rPr>
          <w:rFonts w:eastAsia="Times New Roman" w:cstheme="minorHAnsi"/>
          <w:lang w:val="hr-HR" w:eastAsia="hr-HR" w:bidi="hr-HR"/>
        </w:rPr>
        <w:t xml:space="preserve"> </w:t>
      </w:r>
      <w:r w:rsidRPr="0086255B">
        <w:rPr>
          <w:rFonts w:eastAsia="Times New Roman" w:cstheme="minorHAnsi"/>
          <w:lang w:val="hr-HR" w:eastAsia="hr-HR" w:bidi="hr-HR"/>
        </w:rPr>
        <w:t>ostalo. Navedite oblik pomoći i opišite način izračunavanja ekvivalenta bespovratnih sredstava. Navedite i upućivanje na odgovarajuće odredbe pravnog osnova:</w:t>
      </w:r>
    </w:p>
    <w:p w14:paraId="2A75921C" w14:textId="77777777" w:rsidR="00B52467" w:rsidRPr="0086255B" w:rsidRDefault="00B52467" w:rsidP="00B52467">
      <w:pPr>
        <w:tabs>
          <w:tab w:val="left" w:pos="720"/>
          <w:tab w:val="left" w:pos="1077"/>
          <w:tab w:val="left" w:leader="dot" w:pos="9072"/>
        </w:tabs>
        <w:spacing w:before="120" w:after="120"/>
        <w:jc w:val="both"/>
        <w:rPr>
          <w:rFonts w:eastAsia="Times New Roman" w:cstheme="minorHAnsi"/>
          <w:lang w:bidi="si-LK"/>
        </w:rPr>
      </w:pPr>
      <w:r w:rsidRPr="0086255B">
        <w:rPr>
          <w:rFonts w:eastAsia="Times New Roman" w:cstheme="minorHAnsi"/>
          <w:lang w:bidi="si-LK"/>
        </w:rPr>
        <w:t>..................................................................................................................................................................</w:t>
      </w:r>
    </w:p>
    <w:p w14:paraId="7B730839" w14:textId="77777777" w:rsidR="00B52467" w:rsidRPr="0086255B" w:rsidRDefault="00B52467" w:rsidP="00B52467">
      <w:pPr>
        <w:numPr>
          <w:ilvl w:val="2"/>
          <w:numId w:val="10"/>
        </w:numPr>
        <w:spacing w:before="120" w:after="120" w:line="240" w:lineRule="auto"/>
        <w:jc w:val="both"/>
        <w:rPr>
          <w:rFonts w:cstheme="minorHAnsi"/>
          <w:lang w:val="hr-HR" w:eastAsia="hr-HR" w:bidi="hr-HR"/>
        </w:rPr>
      </w:pPr>
      <w:r w:rsidRPr="0086255B">
        <w:rPr>
          <w:rFonts w:cstheme="minorHAnsi"/>
          <w:lang w:val="hr-HR" w:eastAsia="hr-HR" w:bidi="hr-HR"/>
        </w:rPr>
        <w:t>Da li je šema prihvatljiva za djelimično sufinansiranje iz nekog od fondova Unije koji sprovode u okviru zajedničkog upravljanja („fondovi“). Ako je odgovor potvrdan, navedite u okviru kojeg bi se operativnog programa mogla dobiti finansijska sredstva ESI fondova. Navedite i iznos finansiranja iz ESI fondova ako je poznat u ovoj fazi.</w:t>
      </w:r>
    </w:p>
    <w:p w14:paraId="070F5A90" w14:textId="77777777" w:rsidR="00B52467" w:rsidRPr="0086255B" w:rsidRDefault="00B52467" w:rsidP="00B52467">
      <w:pPr>
        <w:tabs>
          <w:tab w:val="left" w:leader="dot" w:pos="1276"/>
          <w:tab w:val="left" w:pos="9072"/>
        </w:tabs>
        <w:spacing w:before="120" w:after="120"/>
        <w:jc w:val="both"/>
        <w:rPr>
          <w:rFonts w:eastAsia="Times New Roman" w:cstheme="minorHAnsi"/>
          <w:lang w:val="hr-HR" w:eastAsia="hr-HR" w:bidi="hr-HR"/>
        </w:rPr>
      </w:pPr>
      <w:r w:rsidRPr="0086255B">
        <w:rPr>
          <w:rFonts w:eastAsia="Times New Roman" w:cstheme="minorHAnsi"/>
          <w:lang w:val="hr-HR" w:eastAsia="hr-HR" w:bidi="hr-HR"/>
        </w:rPr>
        <w:t>……………………………………………………………………………………...........................................................................</w:t>
      </w:r>
    </w:p>
    <w:p w14:paraId="7311F07F" w14:textId="77777777" w:rsidR="00B52467" w:rsidRPr="0086255B" w:rsidRDefault="00B52467" w:rsidP="00B52467">
      <w:pPr>
        <w:numPr>
          <w:ilvl w:val="2"/>
          <w:numId w:val="10"/>
        </w:numPr>
        <w:spacing w:before="120" w:after="120" w:line="240" w:lineRule="auto"/>
        <w:jc w:val="both"/>
        <w:rPr>
          <w:rFonts w:cstheme="minorHAnsi"/>
          <w:lang w:val="hr-HR" w:eastAsia="hr-HR" w:bidi="hr-HR"/>
        </w:rPr>
      </w:pPr>
      <w:r w:rsidRPr="0086255B">
        <w:rPr>
          <w:rFonts w:cstheme="minorHAnsi"/>
          <w:lang w:val="hr-HR" w:eastAsia="hr-HR" w:bidi="hr-HR"/>
        </w:rPr>
        <w:t xml:space="preserve">Navedite upućivanje na odgovarajuću odredbu pravnog osnova kojom je propisano da bi davaoc pomoći prije dodjele individualne pomoći u okviru prijavljene šeme trebalo da utvrdi da je li korisnik (na nivou grupe) dobio pomoć za najmanje jedno početno ulaganje započeto u istom regionu NUTS 3 u periodu od tri godine prije datuma početka radova na projektu ulaganja. </w:t>
      </w:r>
    </w:p>
    <w:p w14:paraId="12441C18" w14:textId="77777777" w:rsidR="00B52467" w:rsidRPr="0086255B" w:rsidRDefault="00B52467" w:rsidP="00B52467">
      <w:pPr>
        <w:tabs>
          <w:tab w:val="left" w:leader="dot" w:pos="1276"/>
          <w:tab w:val="left" w:pos="9072"/>
        </w:tabs>
        <w:spacing w:before="120" w:after="120"/>
        <w:jc w:val="both"/>
        <w:rPr>
          <w:rFonts w:eastAsia="Times New Roman" w:cstheme="minorHAnsi"/>
          <w:lang w:val="hr-HR" w:eastAsia="hr-HR" w:bidi="hr-HR"/>
        </w:rPr>
      </w:pPr>
      <w:r w:rsidRPr="0086255B">
        <w:rPr>
          <w:rFonts w:eastAsia="Times New Roman" w:cstheme="minorHAnsi"/>
          <w:lang w:val="hr-HR" w:eastAsia="hr-HR" w:bidi="hr-HR"/>
        </w:rPr>
        <w:t>……………………………………………………………………………………...........................................................................</w:t>
      </w:r>
    </w:p>
    <w:p w14:paraId="59F6842F" w14:textId="77777777" w:rsidR="00B52467" w:rsidRPr="0086255B" w:rsidRDefault="00B52467" w:rsidP="00B52467">
      <w:pPr>
        <w:numPr>
          <w:ilvl w:val="2"/>
          <w:numId w:val="10"/>
        </w:numPr>
        <w:spacing w:before="120" w:after="120" w:line="240" w:lineRule="auto"/>
        <w:jc w:val="both"/>
        <w:rPr>
          <w:rFonts w:cstheme="minorHAnsi"/>
          <w:lang w:val="hr-HR" w:eastAsia="hr-HR" w:bidi="hr-HR"/>
        </w:rPr>
      </w:pPr>
      <w:r w:rsidRPr="0086255B">
        <w:rPr>
          <w:rFonts w:cstheme="minorHAnsi"/>
          <w:lang w:val="hr-HR" w:eastAsia="hr-HR" w:bidi="hr-HR"/>
        </w:rPr>
        <w:t>Navedite upućivanje na odgovarajuću odredbu pravnog osnova kojom je propisano da ukupni iznos pomoći koja se u okviru šeme dodjeljuje za projekte početnog ulaganja ne prelazi „maksimalni intenzitet pomoći“ (kako je određeno tačkom 19 podtačka 19 RAG-a), prema potrebi uzimajući u obzir povišeni intenzitet pomoći za MSP-ove (kako je određeno tačkom 186 RAG-a) ili „prilagođeni iznos pomoći“ (kako je određeno tačkom 19 podtačka 3 RAG-a).</w:t>
      </w:r>
    </w:p>
    <w:p w14:paraId="6139D324" w14:textId="77777777" w:rsidR="00B52467" w:rsidRPr="0086255B" w:rsidRDefault="00B52467" w:rsidP="00B52467">
      <w:pPr>
        <w:tabs>
          <w:tab w:val="left" w:leader="dot" w:pos="1276"/>
          <w:tab w:val="left" w:pos="9072"/>
        </w:tabs>
        <w:spacing w:before="120" w:after="120"/>
        <w:jc w:val="both"/>
        <w:rPr>
          <w:rFonts w:eastAsia="Times New Roman" w:cstheme="minorHAnsi"/>
          <w:lang w:val="hr-HR" w:eastAsia="hr-HR" w:bidi="hr-HR"/>
        </w:rPr>
      </w:pPr>
      <w:r w:rsidRPr="0086255B">
        <w:rPr>
          <w:rFonts w:eastAsia="Times New Roman" w:cstheme="minorHAnsi"/>
          <w:lang w:val="hr-HR" w:eastAsia="hr-HR" w:bidi="hr-HR"/>
        </w:rPr>
        <w:t>……………………………………………………………………………………...........................................................................</w:t>
      </w:r>
    </w:p>
    <w:p w14:paraId="026604A4" w14:textId="77777777" w:rsidR="00B52467" w:rsidRPr="0086255B" w:rsidRDefault="00B52467" w:rsidP="00B52467">
      <w:pPr>
        <w:numPr>
          <w:ilvl w:val="2"/>
          <w:numId w:val="10"/>
        </w:numPr>
        <w:spacing w:before="120" w:after="120" w:line="240" w:lineRule="auto"/>
        <w:jc w:val="both"/>
        <w:rPr>
          <w:rFonts w:cstheme="minorHAnsi"/>
          <w:lang w:val="hr-HR" w:eastAsia="hr-HR" w:bidi="hr-HR"/>
        </w:rPr>
      </w:pPr>
      <w:r w:rsidRPr="0086255B">
        <w:rPr>
          <w:rFonts w:cstheme="minorHAnsi"/>
          <w:lang w:val="hr-HR" w:eastAsia="hr-HR" w:bidi="hr-HR"/>
        </w:rPr>
        <w:t>Navedite upućivanje na odgovarajuće odredbe pravnog osnova kojima je propisano da će, ako se pomoć dodjeljuje u okviru nekoliko regionalnih šema pomoći ili kumuliraju sa jednokratnim pomoćima, maksimalni dopušteni intenzitet pomoći unaprijed izračunati prvi davalac pomoći (tačka 99 RAG-a)</w:t>
      </w:r>
    </w:p>
    <w:p w14:paraId="1ECCC506" w14:textId="77777777" w:rsidR="00B52467" w:rsidRPr="0086255B" w:rsidRDefault="00B52467" w:rsidP="00B52467">
      <w:pPr>
        <w:tabs>
          <w:tab w:val="left" w:leader="dot" w:pos="1276"/>
          <w:tab w:val="left" w:pos="9072"/>
        </w:tabs>
        <w:spacing w:before="120" w:after="120"/>
        <w:jc w:val="both"/>
        <w:rPr>
          <w:rFonts w:eastAsia="Times New Roman" w:cstheme="minorHAnsi"/>
          <w:lang w:val="hr-HR" w:eastAsia="hr-HR" w:bidi="hr-HR"/>
        </w:rPr>
      </w:pPr>
      <w:r w:rsidRPr="0086255B">
        <w:rPr>
          <w:rFonts w:eastAsia="Times New Roman" w:cstheme="minorHAnsi"/>
          <w:lang w:val="hr-HR" w:eastAsia="hr-HR" w:bidi="hr-HR"/>
        </w:rPr>
        <w:t>……………………………………………………………………………………...........................................................................</w:t>
      </w:r>
    </w:p>
    <w:p w14:paraId="30AF2890" w14:textId="77777777" w:rsidR="00B52467" w:rsidRPr="0086255B" w:rsidRDefault="00B52467" w:rsidP="00B52467">
      <w:pPr>
        <w:numPr>
          <w:ilvl w:val="2"/>
          <w:numId w:val="10"/>
        </w:numPr>
        <w:spacing w:before="120" w:after="120" w:line="240" w:lineRule="auto"/>
        <w:jc w:val="both"/>
        <w:rPr>
          <w:rFonts w:cstheme="minorHAnsi"/>
          <w:lang w:val="hr-HR" w:eastAsia="hr-HR" w:bidi="hr-HR"/>
        </w:rPr>
      </w:pPr>
      <w:r w:rsidRPr="0086255B">
        <w:rPr>
          <w:rFonts w:cstheme="minorHAnsi"/>
          <w:lang w:val="hr-HR" w:eastAsia="hr-HR" w:bidi="hr-HR"/>
        </w:rPr>
        <w:t xml:space="preserve">Ako je početno ulaganje povezano s projektima evropske teritorijalne saradnje (ETS), navedite upućivanje na odgovarajuće odredbe pravnog osnova kojima je (s obzirom na tačku 100 RAG-a) propisan način utvrđivanja maksimalnog intenziteta pomoći koji se primjenjuje na projekat i na razne korisnike uključene u projekat. </w:t>
      </w:r>
    </w:p>
    <w:p w14:paraId="4AB3DB54" w14:textId="77777777" w:rsidR="00B52467" w:rsidRPr="0086255B" w:rsidRDefault="00B52467" w:rsidP="00B52467">
      <w:pPr>
        <w:tabs>
          <w:tab w:val="left" w:leader="dot" w:pos="1276"/>
          <w:tab w:val="left" w:pos="9120"/>
        </w:tabs>
        <w:spacing w:before="120" w:after="120"/>
        <w:jc w:val="both"/>
        <w:rPr>
          <w:rFonts w:eastAsia="Times New Roman" w:cstheme="minorHAnsi"/>
          <w:lang w:val="hr-HR" w:eastAsia="hr-HR" w:bidi="hr-HR"/>
        </w:rPr>
      </w:pPr>
      <w:r w:rsidRPr="0086255B">
        <w:rPr>
          <w:rFonts w:eastAsia="Times New Roman" w:cstheme="minorHAnsi"/>
          <w:lang w:val="hr-HR" w:eastAsia="hr-HR" w:bidi="hr-HR"/>
        </w:rPr>
        <w:t>……………………………………………………………………………………...........................................................................</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50"/>
      </w:tblGrid>
      <w:tr w:rsidR="00B52467" w:rsidRPr="0086255B" w14:paraId="0D7C87A4" w14:textId="77777777" w:rsidTr="00D507D9">
        <w:trPr>
          <w:trHeight w:val="553"/>
        </w:trPr>
        <w:tc>
          <w:tcPr>
            <w:tcW w:w="5000" w:type="pct"/>
            <w:tcBorders>
              <w:top w:val="single" w:sz="4" w:space="0" w:color="auto"/>
              <w:left w:val="single" w:sz="4" w:space="0" w:color="auto"/>
              <w:bottom w:val="single" w:sz="4" w:space="0" w:color="auto"/>
              <w:right w:val="single" w:sz="4" w:space="0" w:color="auto"/>
            </w:tcBorders>
            <w:shd w:val="pct15" w:color="auto" w:fill="FFFFFF"/>
          </w:tcPr>
          <w:p w14:paraId="70F1F623" w14:textId="77777777" w:rsidR="00B52467" w:rsidRPr="0086255B" w:rsidRDefault="00B52467" w:rsidP="00B52467">
            <w:pPr>
              <w:keepNext/>
              <w:numPr>
                <w:ilvl w:val="0"/>
                <w:numId w:val="1"/>
              </w:numPr>
              <w:tabs>
                <w:tab w:val="clear" w:pos="360"/>
              </w:tabs>
              <w:spacing w:before="120" w:after="120" w:line="240" w:lineRule="auto"/>
              <w:ind w:left="0" w:firstLine="0"/>
              <w:jc w:val="both"/>
              <w:outlineLvl w:val="3"/>
              <w:rPr>
                <w:rFonts w:eastAsia="Times New Roman" w:cstheme="minorHAnsi"/>
                <w:b/>
                <w:bCs/>
                <w:iCs/>
                <w:lang w:val="hr-HR" w:eastAsia="hr-HR" w:bidi="hr-HR"/>
              </w:rPr>
            </w:pPr>
            <w:bookmarkStart w:id="2" w:name="_Hlk221524554"/>
            <w:r w:rsidRPr="0086255B">
              <w:rPr>
                <w:rFonts w:eastAsia="Times New Roman" w:cstheme="minorHAnsi"/>
                <w:b/>
                <w:bCs/>
                <w:iCs/>
                <w:lang w:val="hr-HR" w:eastAsia="hr-HR" w:bidi="hr-HR"/>
              </w:rPr>
              <w:lastRenderedPageBreak/>
              <w:t>Ocjena usklađenosti šeme pomoći</w:t>
            </w:r>
          </w:p>
        </w:tc>
      </w:tr>
      <w:bookmarkEnd w:id="2"/>
    </w:tbl>
    <w:p w14:paraId="7D6C59D8" w14:textId="77777777" w:rsidR="00B52467" w:rsidRPr="0086255B" w:rsidRDefault="00B52467" w:rsidP="00B52467">
      <w:pPr>
        <w:keepNext/>
        <w:spacing w:before="120" w:after="120"/>
        <w:contextualSpacing/>
        <w:jc w:val="both"/>
        <w:rPr>
          <w:rFonts w:cstheme="minorHAnsi"/>
          <w:b/>
          <w:lang w:val="hr-HR" w:eastAsia="hr-HR" w:bidi="hr-HR"/>
        </w:rPr>
      </w:pPr>
    </w:p>
    <w:p w14:paraId="40BFA74F" w14:textId="77777777" w:rsidR="00B52467" w:rsidRPr="0086255B" w:rsidRDefault="00B52467" w:rsidP="00B52467">
      <w:pPr>
        <w:keepNext/>
        <w:numPr>
          <w:ilvl w:val="1"/>
          <w:numId w:val="4"/>
        </w:numPr>
        <w:tabs>
          <w:tab w:val="num" w:pos="840"/>
        </w:tabs>
        <w:spacing w:before="120" w:after="120" w:line="240" w:lineRule="auto"/>
        <w:ind w:left="0" w:firstLine="0"/>
        <w:jc w:val="both"/>
        <w:rPr>
          <w:rFonts w:cstheme="minorHAnsi"/>
          <w:b/>
          <w:lang w:val="hr-HR" w:eastAsia="hr-HR" w:bidi="hr-HR"/>
        </w:rPr>
      </w:pPr>
      <w:r w:rsidRPr="0086255B">
        <w:rPr>
          <w:rFonts w:cstheme="minorHAnsi"/>
          <w:b/>
          <w:lang w:val="hr-HR" w:eastAsia="hr-HR" w:bidi="hr-HR"/>
        </w:rPr>
        <w:t xml:space="preserve"> Doprinos regionalnom razvoju, pozitivni efekti i potreba za državnom intervencijom</w:t>
      </w:r>
    </w:p>
    <w:p w14:paraId="138254A6" w14:textId="77777777" w:rsidR="00B52467" w:rsidRPr="0086255B" w:rsidRDefault="00B52467" w:rsidP="00B52467">
      <w:pPr>
        <w:numPr>
          <w:ilvl w:val="2"/>
          <w:numId w:val="5"/>
        </w:numPr>
        <w:tabs>
          <w:tab w:val="clear" w:pos="2487"/>
        </w:tabs>
        <w:spacing w:before="120" w:after="120" w:line="240" w:lineRule="auto"/>
        <w:ind w:left="720"/>
        <w:jc w:val="both"/>
        <w:rPr>
          <w:rFonts w:cstheme="minorHAnsi"/>
          <w:lang w:val="hr-HR" w:eastAsia="hr-HR" w:bidi="hr-HR"/>
        </w:rPr>
      </w:pPr>
      <w:r w:rsidRPr="0086255B">
        <w:rPr>
          <w:rFonts w:cstheme="minorHAnsi"/>
          <w:lang w:val="hr-HR" w:eastAsia="hr-HR" w:bidi="hr-HR"/>
        </w:rPr>
        <w:t>Objasnite kako je šema usklađena sa razvojnom strategijom predmetnog područja i kako doprinosi njenom sprovođenju (tačka 44 RAG-a):</w:t>
      </w:r>
    </w:p>
    <w:p w14:paraId="09F61AB5" w14:textId="77777777" w:rsidR="00B52467" w:rsidRPr="0086255B" w:rsidRDefault="00B52467" w:rsidP="00B52467">
      <w:pPr>
        <w:spacing w:before="120" w:after="120"/>
        <w:jc w:val="both"/>
        <w:rPr>
          <w:rFonts w:cstheme="minorHAnsi"/>
          <w:lang w:val="hr-HR" w:eastAsia="hr-HR" w:bidi="hr-HR"/>
        </w:rPr>
      </w:pPr>
      <w:r w:rsidRPr="0086255B">
        <w:rPr>
          <w:rFonts w:cstheme="minorHAnsi"/>
          <w:lang w:val="hr-HR" w:eastAsia="hr-HR" w:bidi="hr-HR"/>
        </w:rPr>
        <w:t>..................................................................................................................................................................</w:t>
      </w:r>
    </w:p>
    <w:p w14:paraId="416B4049" w14:textId="77777777" w:rsidR="00B52467" w:rsidRPr="0086255B" w:rsidRDefault="00B52467" w:rsidP="00B52467">
      <w:pPr>
        <w:numPr>
          <w:ilvl w:val="2"/>
          <w:numId w:val="5"/>
        </w:numPr>
        <w:tabs>
          <w:tab w:val="clear" w:pos="2487"/>
        </w:tabs>
        <w:spacing w:before="120" w:after="120" w:line="240" w:lineRule="auto"/>
        <w:ind w:left="720"/>
        <w:jc w:val="both"/>
        <w:rPr>
          <w:rFonts w:cstheme="minorHAnsi"/>
          <w:lang w:val="hr-HR" w:eastAsia="hr-HR" w:bidi="hr-HR"/>
        </w:rPr>
      </w:pPr>
      <w:r w:rsidRPr="0086255B">
        <w:rPr>
          <w:rFonts w:cstheme="minorHAnsi"/>
          <w:lang w:val="hr-HR" w:eastAsia="hr-HR" w:bidi="hr-HR"/>
        </w:rPr>
        <w:t>Navedite upućivanje na odgovarajuće odredbe pravnog osnova u kojima je navedena obaveza sprovođenja procjene uticaja na životnu sredinu za predmetna ulaganja prije dodjele pomoći individualnim projektima ako je tako propisano zakonom (tačka 49 RAG-a).</w:t>
      </w:r>
    </w:p>
    <w:p w14:paraId="4A8E02A4" w14:textId="77777777" w:rsidR="00B52467" w:rsidRPr="0086255B" w:rsidRDefault="00B52467" w:rsidP="00B52467">
      <w:pPr>
        <w:tabs>
          <w:tab w:val="left" w:leader="dot" w:pos="9072"/>
        </w:tabs>
        <w:spacing w:before="120" w:after="120"/>
        <w:jc w:val="both"/>
        <w:rPr>
          <w:rFonts w:cstheme="minorHAnsi"/>
          <w:lang w:val="hr-HR"/>
        </w:rPr>
      </w:pPr>
      <w:r w:rsidRPr="0086255B">
        <w:rPr>
          <w:rFonts w:cstheme="minorHAnsi"/>
          <w:lang w:val="hr-HR"/>
        </w:rPr>
        <w:tab/>
      </w:r>
    </w:p>
    <w:p w14:paraId="45082A6A" w14:textId="77777777" w:rsidR="00B52467" w:rsidRPr="0086255B" w:rsidRDefault="00B52467" w:rsidP="00B52467">
      <w:pPr>
        <w:numPr>
          <w:ilvl w:val="2"/>
          <w:numId w:val="5"/>
        </w:numPr>
        <w:tabs>
          <w:tab w:val="clear" w:pos="2487"/>
        </w:tabs>
        <w:spacing w:before="120" w:after="120" w:line="240" w:lineRule="auto"/>
        <w:ind w:left="720"/>
        <w:jc w:val="both"/>
        <w:rPr>
          <w:rFonts w:cstheme="minorHAnsi"/>
          <w:lang w:val="hr-HR" w:eastAsia="hr-HR" w:bidi="hr-HR"/>
        </w:rPr>
      </w:pPr>
      <w:r w:rsidRPr="0086255B">
        <w:rPr>
          <w:rFonts w:cstheme="minorHAnsi"/>
          <w:lang w:val="hr-HR" w:eastAsia="hr-HR" w:bidi="hr-HR"/>
        </w:rPr>
        <w:t>Objasnite kako će davaoci pomoći odrediti prioritete i izabrati projekte ulaganja u skladu sa ciljevima šeme (na primjer, na osnovu formalnog pristupa bodovanja) (tačka 44 RAG-a). Navedite i upućivanje na odgovarajuće odredbe pravnog osnova ili druge povezane upravne akte.</w:t>
      </w:r>
    </w:p>
    <w:p w14:paraId="6550005E" w14:textId="77777777" w:rsidR="00B52467" w:rsidRPr="0086255B" w:rsidRDefault="00B52467" w:rsidP="00B52467">
      <w:pPr>
        <w:tabs>
          <w:tab w:val="left" w:leader="dot" w:pos="9072"/>
        </w:tabs>
        <w:spacing w:before="120" w:after="120"/>
        <w:jc w:val="both"/>
        <w:rPr>
          <w:rFonts w:cstheme="minorHAnsi"/>
          <w:lang w:val="hr-HR"/>
        </w:rPr>
      </w:pPr>
      <w:r w:rsidRPr="0086255B">
        <w:rPr>
          <w:rFonts w:cstheme="minorHAnsi"/>
          <w:lang w:val="hr-HR"/>
        </w:rPr>
        <w:tab/>
      </w:r>
    </w:p>
    <w:p w14:paraId="492B0A83" w14:textId="77777777" w:rsidR="00B52467" w:rsidRPr="0086255B" w:rsidRDefault="00B52467" w:rsidP="00B52467">
      <w:pPr>
        <w:numPr>
          <w:ilvl w:val="2"/>
          <w:numId w:val="5"/>
        </w:numPr>
        <w:tabs>
          <w:tab w:val="clear" w:pos="2487"/>
        </w:tabs>
        <w:spacing w:before="120" w:after="120" w:line="240" w:lineRule="auto"/>
        <w:ind w:left="720"/>
        <w:jc w:val="both"/>
        <w:rPr>
          <w:rFonts w:cstheme="minorHAnsi"/>
          <w:lang w:val="hr-HR" w:eastAsia="hr-HR" w:bidi="hr-HR"/>
        </w:rPr>
      </w:pPr>
      <w:r w:rsidRPr="0086255B">
        <w:rPr>
          <w:rFonts w:cstheme="minorHAnsi"/>
          <w:lang w:val="hr-HR" w:eastAsia="hr-HR" w:bidi="hr-HR"/>
        </w:rPr>
        <w:t>Objasnite kako će davalac pomoći prilikom dodjele pomoći individualnim projektima ulaganja u okviru prijavljene šeme utvrditi da li izabrani projekat doprinosi cilju šeme i na taj način i razvojnoj strategiji predmetnog područja (tačka 46 RAG-a).</w:t>
      </w:r>
    </w:p>
    <w:p w14:paraId="133F20CE" w14:textId="77777777" w:rsidR="00B52467" w:rsidRPr="0086255B" w:rsidRDefault="00B52467" w:rsidP="00B52467">
      <w:pPr>
        <w:tabs>
          <w:tab w:val="left" w:leader="dot" w:pos="9072"/>
        </w:tabs>
        <w:spacing w:before="120" w:after="120"/>
        <w:jc w:val="both"/>
        <w:rPr>
          <w:rFonts w:cstheme="minorHAnsi"/>
          <w:lang w:val="hr-HR"/>
        </w:rPr>
      </w:pPr>
      <w:r w:rsidRPr="0086255B">
        <w:rPr>
          <w:rFonts w:cstheme="minorHAnsi"/>
          <w:lang w:val="hr-HR"/>
        </w:rPr>
        <w:tab/>
      </w:r>
    </w:p>
    <w:p w14:paraId="77DA30CF" w14:textId="77777777" w:rsidR="00B52467" w:rsidRPr="0086255B" w:rsidRDefault="00B52467" w:rsidP="00B52467">
      <w:pPr>
        <w:numPr>
          <w:ilvl w:val="2"/>
          <w:numId w:val="5"/>
        </w:numPr>
        <w:tabs>
          <w:tab w:val="clear" w:pos="2487"/>
        </w:tabs>
        <w:spacing w:before="120" w:after="120" w:line="240" w:lineRule="auto"/>
        <w:ind w:left="720"/>
        <w:jc w:val="both"/>
        <w:rPr>
          <w:rFonts w:cstheme="minorHAnsi"/>
          <w:lang w:val="hr-HR" w:eastAsia="hr-HR" w:bidi="hr-HR"/>
        </w:rPr>
      </w:pPr>
      <w:r w:rsidRPr="0086255B">
        <w:rPr>
          <w:rFonts w:cstheme="minorHAnsi"/>
          <w:lang w:val="hr-HR" w:eastAsia="hr-HR" w:bidi="hr-HR"/>
        </w:rPr>
        <w:t>Objasnite način implementiranja odredbe kojom je propisano da će se ulaganje kojem je dodijeljena pomoć u okviru prijavljene šeme u predmetnom području zadržati tokom najmanje pet godina (tri godine za MSP-ove) nakon završetka ulaganja (tačka 47 RAG-a).  Navedite upućivanje na odgovarajuće odredbe pravnog osnova.</w:t>
      </w:r>
    </w:p>
    <w:p w14:paraId="088F7B53" w14:textId="77777777" w:rsidR="00B52467" w:rsidRPr="0086255B" w:rsidRDefault="00B52467" w:rsidP="00B52467">
      <w:pPr>
        <w:tabs>
          <w:tab w:val="left" w:leader="dot" w:pos="9072"/>
        </w:tabs>
        <w:spacing w:before="120" w:after="120"/>
        <w:jc w:val="both"/>
        <w:rPr>
          <w:rFonts w:cstheme="minorHAnsi"/>
        </w:rPr>
      </w:pPr>
      <w:r w:rsidRPr="0086255B">
        <w:rPr>
          <w:rFonts w:cstheme="minorHAnsi"/>
        </w:rPr>
        <w:tab/>
      </w:r>
    </w:p>
    <w:p w14:paraId="037AD807" w14:textId="77777777" w:rsidR="00B52467" w:rsidRPr="0086255B" w:rsidRDefault="00B52467" w:rsidP="00B52467">
      <w:pPr>
        <w:numPr>
          <w:ilvl w:val="2"/>
          <w:numId w:val="5"/>
        </w:numPr>
        <w:tabs>
          <w:tab w:val="clear" w:pos="2487"/>
        </w:tabs>
        <w:spacing w:before="120" w:after="120" w:line="240" w:lineRule="auto"/>
        <w:ind w:left="720"/>
        <w:jc w:val="both"/>
        <w:rPr>
          <w:rFonts w:cstheme="minorHAnsi"/>
          <w:lang w:val="hr-HR" w:eastAsia="hr-HR" w:bidi="hr-HR"/>
        </w:rPr>
      </w:pPr>
      <w:r w:rsidRPr="0086255B">
        <w:rPr>
          <w:rFonts w:cstheme="minorHAnsi"/>
          <w:lang w:val="hr-HR" w:eastAsia="hr-HR" w:bidi="hr-HR"/>
        </w:rPr>
        <w:t>U slučajevima u kojima se pomoć dodijeljena u okviru prijavljene šeme obračunava na osnovu troškova zarada, objasnite kako će se implementirati odredba kojom je propisano da se radna mjesta otvaraju u roku od tri godine od završetka projekta i da se svako radno mjesto otvoreno ulaganjem zadržava u predmetnom području tokom perioda od najmanje pet godina (tri godine za MSP-ove) od dana kada je prvi put popunjeno (tačka 36 RAG-a). Navedite upućivanje na odgovarajuće odredbe pravnog osnova.</w:t>
      </w:r>
    </w:p>
    <w:p w14:paraId="1ABE32DA" w14:textId="77777777" w:rsidR="00B52467" w:rsidRPr="0086255B" w:rsidRDefault="00B52467" w:rsidP="00B52467">
      <w:pPr>
        <w:tabs>
          <w:tab w:val="left" w:leader="dot" w:pos="9072"/>
        </w:tabs>
        <w:spacing w:before="120" w:after="120"/>
        <w:jc w:val="both"/>
        <w:rPr>
          <w:rFonts w:cstheme="minorHAnsi"/>
        </w:rPr>
      </w:pPr>
      <w:r w:rsidRPr="0086255B">
        <w:rPr>
          <w:rFonts w:cstheme="minorHAnsi"/>
        </w:rPr>
        <w:tab/>
      </w:r>
    </w:p>
    <w:p w14:paraId="0DB1926A" w14:textId="77777777" w:rsidR="00B52467" w:rsidRPr="0086255B" w:rsidRDefault="00B52467" w:rsidP="00B52467">
      <w:pPr>
        <w:numPr>
          <w:ilvl w:val="2"/>
          <w:numId w:val="5"/>
        </w:numPr>
        <w:tabs>
          <w:tab w:val="clear" w:pos="2487"/>
        </w:tabs>
        <w:spacing w:before="120" w:after="120" w:line="240" w:lineRule="auto"/>
        <w:ind w:left="720"/>
        <w:jc w:val="both"/>
        <w:rPr>
          <w:rFonts w:cstheme="minorHAnsi"/>
          <w:lang w:val="hr-HR" w:eastAsia="hr-HR" w:bidi="hr-HR"/>
        </w:rPr>
      </w:pPr>
      <w:r w:rsidRPr="0086255B">
        <w:rPr>
          <w:rFonts w:cstheme="minorHAnsi"/>
          <w:lang w:val="hr-HR" w:eastAsia="hr-HR" w:bidi="hr-HR"/>
        </w:rPr>
        <w:t>Navedite upućivanje na odgovarajuće odredbe pravnog osnova kojima je propisano da primaoci pomoći moraju da daju finansijski doprinos od najmanje 25 % prihvatljivih troškova, iz vlastitih izvora ili vanjskim finansiranjem, u obliku oslobođenom od bilo kakve javne finansijske pomoći</w:t>
      </w:r>
      <w:r w:rsidRPr="0086255B">
        <w:rPr>
          <w:rStyle w:val="FootnoteReference"/>
          <w:rFonts w:cstheme="minorHAnsi"/>
        </w:rPr>
        <w:footnoteReference w:id="20"/>
      </w:r>
      <w:r w:rsidRPr="0086255B">
        <w:rPr>
          <w:rFonts w:cstheme="minorHAnsi"/>
          <w:lang w:val="hr-HR" w:eastAsia="hr-HR" w:bidi="hr-HR"/>
        </w:rPr>
        <w:t xml:space="preserve"> (tačka 48 RAG-a).</w:t>
      </w:r>
    </w:p>
    <w:p w14:paraId="704AAF57" w14:textId="77777777" w:rsidR="00B52467" w:rsidRPr="0086255B" w:rsidRDefault="00B52467" w:rsidP="00B52467">
      <w:pPr>
        <w:tabs>
          <w:tab w:val="left" w:leader="dot" w:pos="9072"/>
        </w:tabs>
        <w:spacing w:before="120" w:after="120"/>
        <w:jc w:val="both"/>
        <w:rPr>
          <w:rFonts w:cstheme="minorHAnsi"/>
        </w:rPr>
      </w:pPr>
      <w:r w:rsidRPr="0086255B">
        <w:rPr>
          <w:rFonts w:cstheme="minorHAnsi"/>
        </w:rPr>
        <w:tab/>
      </w:r>
    </w:p>
    <w:p w14:paraId="7C359DB4" w14:textId="77777777" w:rsidR="00B52467" w:rsidRPr="0086255B" w:rsidRDefault="00B52467" w:rsidP="00B52467">
      <w:pPr>
        <w:numPr>
          <w:ilvl w:val="2"/>
          <w:numId w:val="5"/>
        </w:numPr>
        <w:tabs>
          <w:tab w:val="clear" w:pos="2487"/>
        </w:tabs>
        <w:spacing w:before="120" w:after="120" w:line="240" w:lineRule="auto"/>
        <w:ind w:left="720"/>
        <w:jc w:val="both"/>
        <w:rPr>
          <w:rFonts w:cstheme="minorHAnsi"/>
          <w:lang w:val="hr-HR" w:eastAsia="hr-HR" w:bidi="hr-HR"/>
        </w:rPr>
      </w:pPr>
      <w:r w:rsidRPr="0086255B">
        <w:rPr>
          <w:rFonts w:cstheme="minorHAnsi"/>
          <w:lang w:val="hr-HR" w:eastAsia="hr-HR" w:bidi="hr-HR"/>
        </w:rPr>
        <w:lastRenderedPageBreak/>
        <w:t>Navedite upućivanje na odgovarajuće odredbe pravnog osnova kojima je propisano da šema treba da poštuje gornje granice utvrđene na mapi regionalne pomoći u vrijeme dodjele pomoći (tačka 88 RAG-a). Navedite i upućivanje na odluku Komisije kojom je odobrena predmetna šema regionalne pomoći.</w:t>
      </w:r>
    </w:p>
    <w:p w14:paraId="2FF00165" w14:textId="77777777" w:rsidR="00B52467" w:rsidRPr="0086255B" w:rsidRDefault="00B52467" w:rsidP="00B52467">
      <w:pPr>
        <w:tabs>
          <w:tab w:val="left" w:leader="dot" w:pos="9072"/>
        </w:tabs>
        <w:spacing w:before="120" w:after="120"/>
        <w:jc w:val="both"/>
        <w:rPr>
          <w:rFonts w:cstheme="minorHAnsi"/>
          <w:lang w:val="hr-HR"/>
        </w:rPr>
      </w:pPr>
      <w:r w:rsidRPr="0086255B">
        <w:rPr>
          <w:rFonts w:cstheme="minorHAnsi"/>
          <w:lang w:val="hr-HR"/>
        </w:rPr>
        <w:tab/>
      </w:r>
    </w:p>
    <w:p w14:paraId="25725509" w14:textId="77777777" w:rsidR="00B52467" w:rsidRPr="0086255B" w:rsidRDefault="00B52467" w:rsidP="00B52467">
      <w:pPr>
        <w:numPr>
          <w:ilvl w:val="1"/>
          <w:numId w:val="4"/>
        </w:numPr>
        <w:tabs>
          <w:tab w:val="num" w:pos="840"/>
        </w:tabs>
        <w:spacing w:before="120" w:after="120" w:line="240" w:lineRule="auto"/>
        <w:ind w:left="0" w:firstLine="0"/>
        <w:jc w:val="both"/>
        <w:rPr>
          <w:rFonts w:cstheme="minorHAnsi"/>
          <w:b/>
          <w:lang w:val="hr-HR" w:eastAsia="hr-HR" w:bidi="hr-HR"/>
        </w:rPr>
      </w:pPr>
      <w:r w:rsidRPr="0086255B">
        <w:rPr>
          <w:rFonts w:cstheme="minorHAnsi"/>
          <w:b/>
          <w:lang w:val="hr-HR" w:eastAsia="hr-HR" w:bidi="hr-HR"/>
        </w:rPr>
        <w:t xml:space="preserve"> Primjerenost šeme pomoći</w:t>
      </w:r>
    </w:p>
    <w:p w14:paraId="2E350FD7" w14:textId="77777777" w:rsidR="00B52467" w:rsidRPr="0086255B" w:rsidRDefault="00B52467" w:rsidP="00B52467">
      <w:pPr>
        <w:numPr>
          <w:ilvl w:val="2"/>
          <w:numId w:val="7"/>
        </w:numPr>
        <w:spacing w:before="120" w:after="120" w:line="240" w:lineRule="auto"/>
        <w:ind w:left="720"/>
        <w:jc w:val="both"/>
        <w:rPr>
          <w:rFonts w:cstheme="minorHAnsi"/>
          <w:lang w:val="hr-HR" w:eastAsia="hr-HR" w:bidi="hr-HR"/>
        </w:rPr>
      </w:pPr>
      <w:r w:rsidRPr="0086255B">
        <w:rPr>
          <w:rFonts w:cstheme="minorHAnsi"/>
          <w:lang w:val="hr-HR" w:eastAsia="hr-HR" w:bidi="hr-HR"/>
        </w:rPr>
        <w:t>Navedite zašto je regionalna pomoć primjeren instrument za postizanje razvoja predmetnog područja</w:t>
      </w:r>
      <w:r w:rsidRPr="0086255B">
        <w:rPr>
          <w:rStyle w:val="FootnoteReference"/>
          <w:rFonts w:cstheme="minorHAnsi"/>
        </w:rPr>
        <w:footnoteReference w:id="21"/>
      </w:r>
      <w:r w:rsidRPr="0086255B">
        <w:rPr>
          <w:rFonts w:cstheme="minorHAnsi"/>
          <w:lang w:val="hr-HR" w:eastAsia="hr-HR" w:bidi="hr-HR"/>
        </w:rPr>
        <w:t xml:space="preserve"> (tačka 80 RAG-a):</w:t>
      </w:r>
    </w:p>
    <w:p w14:paraId="44AD6F37" w14:textId="77777777" w:rsidR="00B52467" w:rsidRPr="0086255B" w:rsidRDefault="00B52467" w:rsidP="00B52467">
      <w:pPr>
        <w:tabs>
          <w:tab w:val="left" w:leader="dot" w:pos="9072"/>
        </w:tabs>
        <w:spacing w:before="120" w:after="120"/>
        <w:jc w:val="both"/>
        <w:rPr>
          <w:rFonts w:cstheme="minorHAnsi"/>
          <w:lang w:val="hr-HR"/>
        </w:rPr>
      </w:pPr>
      <w:r w:rsidRPr="0086255B">
        <w:rPr>
          <w:rFonts w:cstheme="minorHAnsi"/>
          <w:lang w:val="hr-HR"/>
        </w:rPr>
        <w:tab/>
      </w:r>
    </w:p>
    <w:p w14:paraId="4C906F17" w14:textId="77777777" w:rsidR="00B52467" w:rsidRPr="0086255B" w:rsidRDefault="00B52467" w:rsidP="00B52467">
      <w:pPr>
        <w:numPr>
          <w:ilvl w:val="2"/>
          <w:numId w:val="7"/>
        </w:numPr>
        <w:spacing w:before="120" w:after="120" w:line="240" w:lineRule="auto"/>
        <w:ind w:left="720"/>
        <w:jc w:val="both"/>
        <w:rPr>
          <w:rFonts w:cstheme="minorHAnsi"/>
          <w:lang w:val="hr-HR" w:eastAsia="hr-HR" w:bidi="hr-HR"/>
        </w:rPr>
      </w:pPr>
      <w:r w:rsidRPr="0086255B">
        <w:rPr>
          <w:rFonts w:cstheme="minorHAnsi"/>
          <w:lang w:val="hr-HR" w:eastAsia="hr-HR" w:bidi="hr-HR"/>
        </w:rPr>
        <w:t>Ako je šema pomoći specifična za određeni sektor, dokažite prednosti te vrste instrumenta u odnosu na višesektorski program ili druge opcije politike (tačka 81 RAG-a):</w:t>
      </w:r>
    </w:p>
    <w:p w14:paraId="5C02A497" w14:textId="77777777" w:rsidR="00B52467" w:rsidRPr="0086255B" w:rsidRDefault="00B52467" w:rsidP="00B52467">
      <w:pPr>
        <w:tabs>
          <w:tab w:val="left" w:leader="dot" w:pos="9072"/>
        </w:tabs>
        <w:spacing w:before="120" w:after="120"/>
        <w:jc w:val="both"/>
        <w:rPr>
          <w:rFonts w:cstheme="minorHAnsi"/>
          <w:lang w:val="hr-HR"/>
        </w:rPr>
      </w:pPr>
      <w:r w:rsidRPr="0086255B">
        <w:rPr>
          <w:rFonts w:cstheme="minorHAnsi"/>
          <w:lang w:val="hr-HR"/>
        </w:rPr>
        <w:tab/>
      </w:r>
    </w:p>
    <w:p w14:paraId="6C710986" w14:textId="77777777" w:rsidR="00B52467" w:rsidRPr="0086255B" w:rsidRDefault="00B52467" w:rsidP="00B52467">
      <w:pPr>
        <w:numPr>
          <w:ilvl w:val="2"/>
          <w:numId w:val="7"/>
        </w:numPr>
        <w:spacing w:before="120" w:after="120" w:line="240" w:lineRule="auto"/>
        <w:ind w:left="0" w:firstLine="0"/>
        <w:jc w:val="both"/>
        <w:rPr>
          <w:rFonts w:cstheme="minorHAnsi"/>
          <w:lang w:val="hr-HR" w:eastAsia="hr-HR" w:bidi="hr-HR"/>
        </w:rPr>
      </w:pPr>
      <w:r>
        <w:rPr>
          <w:rFonts w:cstheme="minorHAnsi"/>
          <w:lang w:val="hr-HR" w:eastAsia="hr-HR" w:bidi="hr-HR"/>
        </w:rPr>
        <w:t xml:space="preserve"> </w:t>
      </w:r>
      <w:r w:rsidRPr="0086255B">
        <w:rPr>
          <w:rFonts w:cstheme="minorHAnsi"/>
          <w:lang w:val="hr-HR" w:eastAsia="hr-HR" w:bidi="hr-HR"/>
        </w:rPr>
        <w:t>Da li će individualna pomoć u okviru prijavljene šeme biti dodijeljena:</w:t>
      </w:r>
    </w:p>
    <w:p w14:paraId="47873D42" w14:textId="77777777" w:rsidR="00B52467" w:rsidRPr="0086255B" w:rsidRDefault="00B52467" w:rsidP="00B52467">
      <w:pPr>
        <w:numPr>
          <w:ilvl w:val="0"/>
          <w:numId w:val="9"/>
        </w:numPr>
        <w:tabs>
          <w:tab w:val="left" w:pos="720"/>
          <w:tab w:val="left" w:pos="1440"/>
          <w:tab w:val="left" w:pos="1797"/>
        </w:tabs>
        <w:spacing w:before="120" w:after="120" w:line="240" w:lineRule="auto"/>
        <w:jc w:val="both"/>
        <w:rPr>
          <w:rFonts w:eastAsia="Times New Roman" w:cstheme="minorHAnsi"/>
          <w:lang w:val="hr-HR" w:eastAsia="hr-HR" w:bidi="hr-HR"/>
        </w:rPr>
      </w:pPr>
      <w:r w:rsidRPr="0086255B">
        <w:rPr>
          <w:rFonts w:eastAsia="Times New Roman" w:cstheme="minorHAnsi"/>
          <w:lang w:val="hr-HR" w:eastAsia="hr-HR" w:bidi="hr-HR"/>
        </w:rPr>
        <w:fldChar w:fldCharType="begin">
          <w:ffData>
            <w:name w:val="Check1"/>
            <w:enabled/>
            <w:calcOnExit w:val="0"/>
            <w:checkBox>
              <w:sizeAuto/>
              <w:default w:val="0"/>
            </w:checkBox>
          </w:ffData>
        </w:fldChar>
      </w:r>
      <w:r w:rsidRPr="0086255B">
        <w:rPr>
          <w:rFonts w:eastAsia="Times New Roman" w:cstheme="minorHAnsi"/>
          <w:lang w:val="hr-HR" w:eastAsia="hr-HR" w:bidi="hr-HR"/>
        </w:rPr>
        <w:instrText xml:space="preserve"> FORMCHECKBOX </w:instrText>
      </w:r>
      <w:r>
        <w:rPr>
          <w:rFonts w:eastAsia="Times New Roman" w:cstheme="minorHAnsi"/>
          <w:lang w:val="hr-HR" w:eastAsia="hr-HR" w:bidi="hr-HR"/>
        </w:rPr>
      </w:r>
      <w:r>
        <w:rPr>
          <w:rFonts w:eastAsia="Times New Roman" w:cstheme="minorHAnsi"/>
          <w:lang w:val="hr-HR" w:eastAsia="hr-HR" w:bidi="hr-HR"/>
        </w:rPr>
        <w:fldChar w:fldCharType="separate"/>
      </w:r>
      <w:r w:rsidRPr="0086255B">
        <w:rPr>
          <w:rFonts w:eastAsia="Times New Roman" w:cstheme="minorHAnsi"/>
          <w:lang w:val="hr-HR" w:eastAsia="hr-HR" w:bidi="hr-HR"/>
        </w:rPr>
        <w:fldChar w:fldCharType="end"/>
      </w:r>
      <w:r w:rsidRPr="0086255B">
        <w:rPr>
          <w:rFonts w:eastAsia="Times New Roman" w:cstheme="minorHAnsi"/>
          <w:lang w:val="hr-HR" w:eastAsia="hr-HR" w:bidi="hr-HR"/>
        </w:rPr>
        <w:t xml:space="preserve">  automatski, pod uslovom da su ispunjeni uslovi šeme, ili</w:t>
      </w:r>
    </w:p>
    <w:p w14:paraId="2A45F641" w14:textId="77777777" w:rsidR="00B52467" w:rsidRPr="0086255B" w:rsidRDefault="00B52467" w:rsidP="00B52467">
      <w:pPr>
        <w:numPr>
          <w:ilvl w:val="0"/>
          <w:numId w:val="9"/>
        </w:numPr>
        <w:tabs>
          <w:tab w:val="left" w:pos="720"/>
          <w:tab w:val="left" w:pos="1440"/>
          <w:tab w:val="left" w:pos="1797"/>
        </w:tabs>
        <w:spacing w:before="120" w:after="120" w:line="240" w:lineRule="auto"/>
        <w:jc w:val="both"/>
        <w:rPr>
          <w:rFonts w:eastAsia="Times New Roman" w:cstheme="minorHAnsi"/>
          <w:lang w:val="hr-HR" w:eastAsia="hr-HR" w:bidi="hr-HR"/>
        </w:rPr>
      </w:pPr>
      <w:r w:rsidRPr="0086255B">
        <w:rPr>
          <w:rFonts w:eastAsia="Times New Roman" w:cstheme="minorHAnsi"/>
          <w:lang w:val="hr-HR" w:eastAsia="hr-HR" w:bidi="hr-HR"/>
        </w:rPr>
        <w:fldChar w:fldCharType="begin">
          <w:ffData>
            <w:name w:val="Check1"/>
            <w:enabled/>
            <w:calcOnExit w:val="0"/>
            <w:checkBox>
              <w:sizeAuto/>
              <w:default w:val="0"/>
            </w:checkBox>
          </w:ffData>
        </w:fldChar>
      </w:r>
      <w:r w:rsidRPr="0086255B">
        <w:rPr>
          <w:rFonts w:eastAsia="Times New Roman" w:cstheme="minorHAnsi"/>
          <w:lang w:val="hr-HR" w:eastAsia="hr-HR" w:bidi="hr-HR"/>
        </w:rPr>
        <w:instrText xml:space="preserve"> FORMCHECKBOX </w:instrText>
      </w:r>
      <w:r>
        <w:rPr>
          <w:rFonts w:eastAsia="Times New Roman" w:cstheme="minorHAnsi"/>
          <w:lang w:val="hr-HR" w:eastAsia="hr-HR" w:bidi="hr-HR"/>
        </w:rPr>
      </w:r>
      <w:r>
        <w:rPr>
          <w:rFonts w:eastAsia="Times New Roman" w:cstheme="minorHAnsi"/>
          <w:lang w:val="hr-HR" w:eastAsia="hr-HR" w:bidi="hr-HR"/>
        </w:rPr>
        <w:fldChar w:fldCharType="separate"/>
      </w:r>
      <w:r w:rsidRPr="0086255B">
        <w:rPr>
          <w:rFonts w:eastAsia="Times New Roman" w:cstheme="minorHAnsi"/>
          <w:lang w:val="hr-HR" w:eastAsia="hr-HR" w:bidi="hr-HR"/>
        </w:rPr>
        <w:fldChar w:fldCharType="end"/>
      </w:r>
      <w:r w:rsidRPr="0086255B">
        <w:rPr>
          <w:rFonts w:eastAsia="Times New Roman" w:cstheme="minorHAnsi"/>
          <w:lang w:val="hr-HR" w:eastAsia="hr-HR" w:bidi="hr-HR"/>
        </w:rPr>
        <w:t xml:space="preserve">  na diskrecionoj osnovi, nakon odluke nadležnih organa?</w:t>
      </w:r>
    </w:p>
    <w:p w14:paraId="5904D6F5" w14:textId="77777777" w:rsidR="00B52467" w:rsidRPr="0086255B" w:rsidRDefault="00B52467" w:rsidP="00B52467">
      <w:pPr>
        <w:spacing w:before="120" w:after="120"/>
        <w:ind w:left="360"/>
        <w:jc w:val="both"/>
        <w:rPr>
          <w:rFonts w:eastAsia="Times New Roman" w:cstheme="minorHAnsi"/>
          <w:lang w:val="hr-HR"/>
        </w:rPr>
      </w:pPr>
      <w:r w:rsidRPr="0086255B">
        <w:rPr>
          <w:rFonts w:eastAsia="Times New Roman" w:cstheme="minorHAnsi"/>
          <w:lang w:val="hr-HR"/>
        </w:rPr>
        <w:t xml:space="preserve">Navedite upućivanje na odgovarajuće odredbe pravne osnove: </w:t>
      </w:r>
    </w:p>
    <w:p w14:paraId="29B74973" w14:textId="77777777" w:rsidR="00B52467" w:rsidRPr="0086255B" w:rsidRDefault="00B52467" w:rsidP="00B52467">
      <w:pPr>
        <w:tabs>
          <w:tab w:val="left" w:leader="dot" w:pos="9072"/>
        </w:tabs>
        <w:spacing w:before="120" w:after="120"/>
        <w:jc w:val="both"/>
        <w:rPr>
          <w:rFonts w:eastAsia="Times New Roman" w:cstheme="minorHAnsi"/>
          <w:lang w:val="hr-HR" w:eastAsia="hr-HR" w:bidi="hr-HR"/>
        </w:rPr>
      </w:pPr>
      <w:r w:rsidRPr="0086255B">
        <w:rPr>
          <w:rFonts w:eastAsia="Times New Roman" w:cstheme="minorHAnsi"/>
          <w:lang w:val="hr-HR" w:eastAsia="hr-HR" w:bidi="hr-HR"/>
        </w:rPr>
        <w:tab/>
      </w:r>
    </w:p>
    <w:p w14:paraId="77898F73" w14:textId="77777777" w:rsidR="00B52467" w:rsidRPr="0086255B" w:rsidRDefault="00B52467" w:rsidP="00B52467">
      <w:pPr>
        <w:spacing w:before="120" w:after="120"/>
        <w:ind w:left="360"/>
        <w:jc w:val="both"/>
        <w:rPr>
          <w:rFonts w:eastAsia="Times New Roman" w:cstheme="minorHAnsi"/>
          <w:lang w:val="hr-HR"/>
        </w:rPr>
      </w:pPr>
      <w:r w:rsidRPr="0086255B">
        <w:rPr>
          <w:rFonts w:eastAsia="Times New Roman" w:cstheme="minorHAnsi"/>
          <w:lang w:val="hr-HR"/>
        </w:rPr>
        <w:t>Ako se pomoć dodjeljuje na diskrecionoj osnovi, navedite kratak opis primijenjenih kriterijuma i priložite kopiju internih administrativnih odredaba davalaca pomoći koje se primjenjuju na dodjelu pomoći:</w:t>
      </w:r>
    </w:p>
    <w:p w14:paraId="73512456" w14:textId="77777777" w:rsidR="00B52467" w:rsidRPr="0086255B" w:rsidRDefault="00B52467" w:rsidP="00B52467">
      <w:pPr>
        <w:tabs>
          <w:tab w:val="left" w:leader="dot" w:pos="9072"/>
        </w:tabs>
        <w:spacing w:before="120" w:after="120"/>
        <w:jc w:val="both"/>
        <w:rPr>
          <w:rFonts w:eastAsia="Times New Roman" w:cstheme="minorHAnsi"/>
          <w:lang w:val="hr-HR" w:eastAsia="hr-HR" w:bidi="hr-HR"/>
        </w:rPr>
      </w:pPr>
      <w:r w:rsidRPr="0086255B">
        <w:rPr>
          <w:rFonts w:eastAsia="Times New Roman" w:cstheme="minorHAnsi"/>
          <w:lang w:val="hr-HR" w:eastAsia="hr-HR" w:bidi="hr-HR"/>
        </w:rPr>
        <w:tab/>
      </w:r>
    </w:p>
    <w:p w14:paraId="0AEBF74C" w14:textId="77777777" w:rsidR="00B52467" w:rsidRPr="0086255B" w:rsidRDefault="00B52467" w:rsidP="00B52467">
      <w:pPr>
        <w:numPr>
          <w:ilvl w:val="2"/>
          <w:numId w:val="7"/>
        </w:numPr>
        <w:spacing w:before="120" w:after="120" w:line="240" w:lineRule="auto"/>
        <w:ind w:left="720"/>
        <w:jc w:val="both"/>
        <w:rPr>
          <w:rFonts w:cstheme="minorHAnsi"/>
          <w:lang w:val="hr-HR" w:eastAsia="hr-HR" w:bidi="hr-HR"/>
        </w:rPr>
      </w:pPr>
      <w:r w:rsidRPr="0086255B">
        <w:rPr>
          <w:rFonts w:cstheme="minorHAnsi"/>
          <w:lang w:val="hr-HR" w:eastAsia="hr-HR" w:bidi="hr-HR"/>
        </w:rPr>
        <w:t>Ako se pomoć dodjeljuje u oblicima koji donose direktnu novčanu korist</w:t>
      </w:r>
      <w:r w:rsidRPr="0086255B">
        <w:rPr>
          <w:rStyle w:val="FootnoteReference"/>
          <w:rFonts w:cstheme="minorHAnsi"/>
        </w:rPr>
        <w:footnoteReference w:id="22"/>
      </w:r>
      <w:r w:rsidRPr="0086255B">
        <w:rPr>
          <w:rFonts w:cstheme="minorHAnsi"/>
          <w:lang w:val="hr-HR" w:eastAsia="hr-HR" w:bidi="hr-HR"/>
        </w:rPr>
        <w:t>, dokažite zbog čega nisu primjereni drugi oblici pomoći kojima se potencijalno manje narušava konkurencija, npr. povratni avans ili oblici pomoći koji se zasnivaju na instrumentima duga ili vlasničkim instrumentima</w:t>
      </w:r>
      <w:r w:rsidRPr="0086255B">
        <w:rPr>
          <w:rStyle w:val="FootnoteReference"/>
          <w:rFonts w:cstheme="minorHAnsi"/>
        </w:rPr>
        <w:footnoteReference w:id="23"/>
      </w:r>
      <w:r w:rsidRPr="0086255B">
        <w:rPr>
          <w:rFonts w:cstheme="minorHAnsi"/>
          <w:lang w:val="hr-HR" w:eastAsia="hr-HR" w:bidi="hr-HR"/>
        </w:rPr>
        <w:t xml:space="preserve"> (tačka 85 RAG</w:t>
      </w:r>
      <w:r w:rsidRPr="0086255B">
        <w:rPr>
          <w:rFonts w:cstheme="minorHAnsi"/>
          <w:lang w:val="hr-HR" w:eastAsia="hr-HR" w:bidi="hr-HR"/>
        </w:rPr>
        <w:noBreakHyphen/>
        <w:t xml:space="preserve">a): </w:t>
      </w:r>
    </w:p>
    <w:p w14:paraId="197AE26C" w14:textId="77777777" w:rsidR="00B52467" w:rsidRPr="0086255B" w:rsidRDefault="00B52467" w:rsidP="00B52467">
      <w:pPr>
        <w:tabs>
          <w:tab w:val="left" w:leader="dot" w:pos="9072"/>
        </w:tabs>
        <w:spacing w:before="120" w:after="120"/>
        <w:jc w:val="both"/>
        <w:rPr>
          <w:rFonts w:eastAsia="Times New Roman" w:cstheme="minorHAnsi"/>
          <w:lang w:val="hr-HR" w:eastAsia="hr-HR" w:bidi="hr-HR"/>
        </w:rPr>
      </w:pPr>
      <w:r w:rsidRPr="0086255B">
        <w:rPr>
          <w:rFonts w:eastAsia="Times New Roman" w:cstheme="minorHAnsi"/>
          <w:lang w:val="hr-HR" w:eastAsia="hr-HR" w:bidi="hr-HR"/>
        </w:rPr>
        <w:tab/>
      </w:r>
    </w:p>
    <w:p w14:paraId="1A4D0B79" w14:textId="77777777" w:rsidR="00B52467" w:rsidRPr="0086255B" w:rsidRDefault="00B52467" w:rsidP="00B52467">
      <w:pPr>
        <w:numPr>
          <w:ilvl w:val="1"/>
          <w:numId w:val="4"/>
        </w:numPr>
        <w:tabs>
          <w:tab w:val="num" w:pos="840"/>
        </w:tabs>
        <w:spacing w:before="120" w:after="120" w:line="240" w:lineRule="auto"/>
        <w:ind w:left="0" w:firstLine="0"/>
        <w:jc w:val="both"/>
        <w:rPr>
          <w:rFonts w:cstheme="minorHAnsi"/>
          <w:b/>
          <w:lang w:val="hr-HR" w:eastAsia="hr-HR" w:bidi="hr-HR"/>
        </w:rPr>
      </w:pPr>
      <w:r w:rsidRPr="0086255B">
        <w:rPr>
          <w:rFonts w:cstheme="minorHAnsi"/>
          <w:b/>
          <w:lang w:val="hr-HR" w:eastAsia="hr-HR" w:bidi="hr-HR"/>
        </w:rPr>
        <w:t xml:space="preserve"> Podsticajni efekat šeme</w:t>
      </w:r>
    </w:p>
    <w:p w14:paraId="18BDEA51" w14:textId="77777777" w:rsidR="00B52467" w:rsidRPr="0086255B" w:rsidRDefault="00B52467" w:rsidP="00B52467">
      <w:pPr>
        <w:numPr>
          <w:ilvl w:val="2"/>
          <w:numId w:val="4"/>
        </w:numPr>
        <w:tabs>
          <w:tab w:val="clear" w:pos="2487"/>
        </w:tabs>
        <w:spacing w:before="120" w:after="120" w:line="240" w:lineRule="auto"/>
        <w:ind w:left="720"/>
        <w:jc w:val="both"/>
        <w:rPr>
          <w:rFonts w:cstheme="minorHAnsi"/>
          <w:lang w:val="hr-HR" w:eastAsia="hr-HR" w:bidi="hr-HR"/>
        </w:rPr>
      </w:pPr>
      <w:r w:rsidRPr="0086255B">
        <w:rPr>
          <w:rFonts w:cstheme="minorHAnsi"/>
          <w:lang w:val="hr-HR" w:eastAsia="hr-HR" w:bidi="hr-HR"/>
        </w:rPr>
        <w:t>Navedite upućivanje na odgovarajuće odredbe pravnog osnova kojima je propisano da zahtjev za pomoć mora biti podnesen prije početka radova u okviru predmetnog projekta ulaganja (tačka 62 RAG-a):</w:t>
      </w:r>
    </w:p>
    <w:p w14:paraId="48D2D23C" w14:textId="77777777" w:rsidR="00B52467" w:rsidRPr="0086255B" w:rsidRDefault="00B52467" w:rsidP="00B52467">
      <w:pPr>
        <w:tabs>
          <w:tab w:val="left" w:leader="dot" w:pos="9072"/>
        </w:tabs>
        <w:spacing w:before="120" w:after="120"/>
        <w:jc w:val="both"/>
        <w:rPr>
          <w:rFonts w:eastAsia="Times New Roman" w:cstheme="minorHAnsi"/>
          <w:lang w:val="hr-HR" w:eastAsia="hr-HR" w:bidi="hr-HR"/>
        </w:rPr>
      </w:pPr>
      <w:r w:rsidRPr="0086255B">
        <w:rPr>
          <w:rFonts w:eastAsia="Times New Roman" w:cstheme="minorHAnsi"/>
          <w:lang w:val="hr-HR" w:eastAsia="hr-HR" w:bidi="hr-HR"/>
        </w:rPr>
        <w:tab/>
      </w:r>
    </w:p>
    <w:p w14:paraId="5AD81319" w14:textId="77777777" w:rsidR="00B52467" w:rsidRPr="0086255B" w:rsidRDefault="00B52467" w:rsidP="00B52467">
      <w:pPr>
        <w:numPr>
          <w:ilvl w:val="2"/>
          <w:numId w:val="4"/>
        </w:numPr>
        <w:tabs>
          <w:tab w:val="clear" w:pos="2487"/>
        </w:tabs>
        <w:spacing w:before="120" w:after="120" w:line="240" w:lineRule="auto"/>
        <w:ind w:left="720"/>
        <w:jc w:val="both"/>
        <w:rPr>
          <w:rFonts w:cstheme="minorHAnsi"/>
          <w:lang w:val="hr-HR" w:eastAsia="hr-HR" w:bidi="hr-HR"/>
        </w:rPr>
      </w:pPr>
      <w:r w:rsidRPr="0086255B">
        <w:rPr>
          <w:rFonts w:cstheme="minorHAnsi"/>
          <w:lang w:val="hr-HR" w:eastAsia="hr-HR" w:bidi="hr-HR"/>
        </w:rPr>
        <w:lastRenderedPageBreak/>
        <w:t>Navedite upućivanje na odgovarajuće odredbe pravnog osnova kojima je propisano da su podnosioci zahtjeva za dodjelu pomoći u okviru prijavljene šeme u obavezi da dostave standardni obrazac zahtjeva koji daje organ koji dodjeljuje pomoć u kojem moraju objasniti što bi se dogodilo u slučaju da pomoć ne bude dodijeljena, navodeći koji se scenario primjenjuje (</w:t>
      </w:r>
      <w:r w:rsidRPr="0086255B">
        <w:rPr>
          <w:rFonts w:cstheme="minorHAnsi"/>
          <w:i/>
          <w:lang w:val="hr-HR" w:eastAsia="hr-HR" w:bidi="hr-HR"/>
        </w:rPr>
        <w:t xml:space="preserve">1. scenario </w:t>
      </w:r>
      <w:r w:rsidRPr="0086255B">
        <w:rPr>
          <w:rFonts w:cstheme="minorHAnsi"/>
          <w:i/>
          <w:lang w:val="hr-HR" w:eastAsia="hr-HR" w:bidi="hr-HR"/>
        </w:rPr>
        <w:noBreakHyphen/>
        <w:t xml:space="preserve"> </w:t>
      </w:r>
      <w:r w:rsidRPr="0086255B">
        <w:rPr>
          <w:rFonts w:cstheme="minorHAnsi"/>
          <w:lang w:val="hr-HR" w:eastAsia="hr-HR" w:bidi="hr-HR"/>
        </w:rPr>
        <w:t xml:space="preserve">odluka o ulaganju ili </w:t>
      </w:r>
      <w:r w:rsidRPr="0086255B">
        <w:rPr>
          <w:rFonts w:cstheme="minorHAnsi"/>
          <w:i/>
          <w:lang w:val="hr-HR" w:eastAsia="hr-HR" w:bidi="hr-HR"/>
        </w:rPr>
        <w:t>2. scenario</w:t>
      </w:r>
      <w:r w:rsidRPr="0086255B">
        <w:rPr>
          <w:rFonts w:cstheme="minorHAnsi"/>
          <w:lang w:val="hr-HR" w:eastAsia="hr-HR" w:bidi="hr-HR"/>
        </w:rPr>
        <w:t xml:space="preserve"> – odluka o lokaciji) (tačke 64 i 59 RAG-a). Ako se taj obrazac razlikuje od primjera navedenog u Prilogu VII RAG-u priložite kopiju tog obrasca.</w:t>
      </w:r>
    </w:p>
    <w:p w14:paraId="2E6194FA" w14:textId="77777777" w:rsidR="00B52467" w:rsidRPr="0086255B" w:rsidRDefault="00B52467" w:rsidP="00B52467">
      <w:pPr>
        <w:tabs>
          <w:tab w:val="left" w:leader="dot" w:pos="9072"/>
        </w:tabs>
        <w:spacing w:before="120" w:after="120"/>
        <w:jc w:val="both"/>
        <w:rPr>
          <w:rFonts w:eastAsia="Times New Roman" w:cstheme="minorHAnsi"/>
          <w:lang w:val="hr-HR" w:eastAsia="hr-HR" w:bidi="hr-HR"/>
        </w:rPr>
      </w:pPr>
      <w:r w:rsidRPr="0086255B">
        <w:rPr>
          <w:rFonts w:eastAsia="Times New Roman" w:cstheme="minorHAnsi"/>
          <w:lang w:val="hr-HR" w:eastAsia="hr-HR" w:bidi="hr-HR"/>
        </w:rPr>
        <w:tab/>
      </w:r>
    </w:p>
    <w:p w14:paraId="709D0E10" w14:textId="77777777" w:rsidR="00B52467" w:rsidRPr="0086255B" w:rsidRDefault="00B52467" w:rsidP="00B52467">
      <w:pPr>
        <w:numPr>
          <w:ilvl w:val="2"/>
          <w:numId w:val="4"/>
        </w:numPr>
        <w:tabs>
          <w:tab w:val="clear" w:pos="2487"/>
        </w:tabs>
        <w:spacing w:before="120" w:after="120" w:line="240" w:lineRule="auto"/>
        <w:ind w:left="720"/>
        <w:jc w:val="both"/>
        <w:rPr>
          <w:rFonts w:cstheme="minorHAnsi"/>
          <w:lang w:val="hr-HR" w:eastAsia="hr-HR" w:bidi="hr-HR"/>
        </w:rPr>
      </w:pPr>
      <w:r w:rsidRPr="0086255B">
        <w:rPr>
          <w:rFonts w:cstheme="minorHAnsi"/>
          <w:lang w:val="hr-HR" w:eastAsia="hr-HR" w:bidi="hr-HR"/>
        </w:rPr>
        <w:t>Navedite upućivanje na odgovarajuće odredbe pravnog osnova kojima je propisano da velika preduzeća koja podnose zahtjev za dodjelu pomoći u okviru prijavljenih šema moraju dostaviti dokumentaciju kao dokaz za opisanu alternativnu situaciju. (tačka 65 RAG-a) Objasnite i koje će vrste dokumenata biti potrebne.</w:t>
      </w:r>
    </w:p>
    <w:p w14:paraId="54317472" w14:textId="77777777" w:rsidR="00B52467" w:rsidRPr="0086255B" w:rsidRDefault="00B52467" w:rsidP="00B52467">
      <w:pPr>
        <w:tabs>
          <w:tab w:val="left" w:leader="dot" w:pos="9072"/>
        </w:tabs>
        <w:spacing w:before="120" w:after="120"/>
        <w:jc w:val="both"/>
        <w:rPr>
          <w:rFonts w:eastAsia="Times New Roman" w:cstheme="minorHAnsi"/>
          <w:lang w:val="hr-HR" w:eastAsia="hr-HR" w:bidi="hr-HR"/>
        </w:rPr>
      </w:pPr>
      <w:r w:rsidRPr="0086255B">
        <w:rPr>
          <w:rFonts w:eastAsia="Times New Roman" w:cstheme="minorHAnsi"/>
          <w:lang w:val="hr-HR" w:eastAsia="hr-HR" w:bidi="hr-HR"/>
        </w:rPr>
        <w:tab/>
      </w:r>
    </w:p>
    <w:p w14:paraId="084D2457" w14:textId="77777777" w:rsidR="00B52467" w:rsidRPr="0086255B" w:rsidRDefault="00B52467" w:rsidP="00B52467">
      <w:pPr>
        <w:numPr>
          <w:ilvl w:val="2"/>
          <w:numId w:val="4"/>
        </w:numPr>
        <w:tabs>
          <w:tab w:val="clear" w:pos="2487"/>
        </w:tabs>
        <w:spacing w:before="120" w:after="120" w:line="240" w:lineRule="auto"/>
        <w:ind w:left="720"/>
        <w:jc w:val="both"/>
        <w:rPr>
          <w:rFonts w:cstheme="minorHAnsi"/>
          <w:lang w:val="hr-HR" w:eastAsia="hr-HR" w:bidi="hr-HR"/>
        </w:rPr>
      </w:pPr>
      <w:r w:rsidRPr="0086255B">
        <w:rPr>
          <w:rFonts w:cstheme="minorHAnsi"/>
          <w:lang w:val="hr-HR" w:eastAsia="hr-HR" w:bidi="hr-HR"/>
        </w:rPr>
        <w:t xml:space="preserve">Navedite upućivanje na odgovarajuće odredbe pravnog osnova kojima je propisano da prilikom ocjene zahtjeva za individualnu pomoć davaoc pomoći mora da izvrši provjeru vjerodostojnosti priloženog alternativnog scenarija i mora da provjeri da li regionalna pomoć ima potreban podsticajni efekat koji odgovara 1. </w:t>
      </w:r>
      <w:r w:rsidRPr="0086255B">
        <w:rPr>
          <w:rFonts w:cstheme="minorHAnsi"/>
          <w:i/>
          <w:lang w:val="hr-HR" w:eastAsia="hr-HR" w:bidi="hr-HR"/>
        </w:rPr>
        <w:t>scenariju</w:t>
      </w:r>
      <w:r w:rsidRPr="0086255B">
        <w:rPr>
          <w:rFonts w:cstheme="minorHAnsi"/>
          <w:lang w:val="hr-HR" w:eastAsia="hr-HR" w:bidi="hr-HR"/>
        </w:rPr>
        <w:t xml:space="preserve"> ili 2. </w:t>
      </w:r>
      <w:r w:rsidRPr="0086255B">
        <w:rPr>
          <w:rFonts w:cstheme="minorHAnsi"/>
          <w:i/>
          <w:lang w:val="hr-HR" w:eastAsia="hr-HR" w:bidi="hr-HR"/>
        </w:rPr>
        <w:t>scenariju</w:t>
      </w:r>
      <w:r w:rsidRPr="0086255B">
        <w:rPr>
          <w:rStyle w:val="FootnoteReference"/>
          <w:rFonts w:cstheme="minorHAnsi"/>
          <w:i/>
        </w:rPr>
        <w:footnoteReference w:id="24"/>
      </w:r>
      <w:r w:rsidRPr="0086255B">
        <w:rPr>
          <w:rFonts w:cstheme="minorHAnsi"/>
          <w:lang w:val="hr-HR" w:eastAsia="hr-HR" w:bidi="hr-HR"/>
        </w:rPr>
        <w:t xml:space="preserve"> (tačka 66 RAG-a).</w:t>
      </w:r>
    </w:p>
    <w:p w14:paraId="1277D8CD" w14:textId="77777777" w:rsidR="00B52467" w:rsidRPr="0086255B" w:rsidRDefault="00B52467" w:rsidP="00B52467">
      <w:pPr>
        <w:tabs>
          <w:tab w:val="left" w:leader="dot" w:pos="9072"/>
        </w:tabs>
        <w:spacing w:before="120" w:after="120"/>
        <w:jc w:val="both"/>
        <w:rPr>
          <w:rFonts w:eastAsia="Times New Roman" w:cstheme="minorHAnsi"/>
          <w:lang w:val="hr-HR" w:eastAsia="hr-HR" w:bidi="hr-HR"/>
        </w:rPr>
      </w:pPr>
      <w:r w:rsidRPr="0086255B">
        <w:rPr>
          <w:rFonts w:eastAsia="Times New Roman" w:cstheme="minorHAnsi"/>
          <w:lang w:val="hr-HR" w:eastAsia="hr-HR" w:bidi="hr-HR"/>
        </w:rPr>
        <w:tab/>
      </w:r>
    </w:p>
    <w:p w14:paraId="1AC4F6FC" w14:textId="77777777" w:rsidR="00B52467" w:rsidRPr="0086255B" w:rsidRDefault="00B52467" w:rsidP="00B52467">
      <w:pPr>
        <w:numPr>
          <w:ilvl w:val="1"/>
          <w:numId w:val="4"/>
        </w:numPr>
        <w:tabs>
          <w:tab w:val="num" w:pos="840"/>
        </w:tabs>
        <w:spacing w:before="120" w:after="120" w:line="240" w:lineRule="auto"/>
        <w:ind w:left="0" w:firstLine="0"/>
        <w:jc w:val="both"/>
        <w:rPr>
          <w:rFonts w:cstheme="minorHAnsi"/>
          <w:b/>
          <w:lang w:val="hr-HR" w:eastAsia="hr-HR" w:bidi="hr-HR"/>
        </w:rPr>
      </w:pPr>
      <w:r w:rsidRPr="0086255B">
        <w:rPr>
          <w:rFonts w:cstheme="minorHAnsi"/>
          <w:b/>
          <w:lang w:val="hr-HR" w:eastAsia="hr-HR" w:bidi="hr-HR"/>
        </w:rPr>
        <w:t xml:space="preserve"> Podsticajni efekat i propocionalnost šeme</w:t>
      </w:r>
    </w:p>
    <w:p w14:paraId="1143D21B" w14:textId="77777777" w:rsidR="00B52467" w:rsidRPr="0086255B" w:rsidRDefault="00B52467" w:rsidP="00B52467">
      <w:pPr>
        <w:pStyle w:val="Normal127Indent127"/>
        <w:numPr>
          <w:ilvl w:val="2"/>
          <w:numId w:val="12"/>
        </w:numPr>
        <w:tabs>
          <w:tab w:val="clear" w:pos="720"/>
          <w:tab w:val="clear" w:pos="1440"/>
          <w:tab w:val="clear" w:pos="1797"/>
        </w:tabs>
        <w:ind w:left="720"/>
        <w:rPr>
          <w:rFonts w:asciiTheme="minorHAnsi" w:hAnsiTheme="minorHAnsi" w:cstheme="minorHAnsi"/>
          <w:sz w:val="22"/>
          <w:szCs w:val="22"/>
        </w:rPr>
      </w:pPr>
      <w:r w:rsidRPr="0086255B">
        <w:rPr>
          <w:rFonts w:asciiTheme="minorHAnsi" w:hAnsiTheme="minorHAnsi" w:cstheme="minorHAnsi"/>
          <w:sz w:val="22"/>
          <w:szCs w:val="22"/>
        </w:rPr>
        <w:t xml:space="preserve">Navedite upućivanje na odgovarajuće odredbe pravnog osnova kojima je propisano da će individualna pomoć dodijeljena velikim preduzećima u okviru prijavljene šeme biti ograničene na neto dodatne troškove sprovođenja ulaganja u predmetno područje u poređenju sa alternativnim scenarijem u kojem je opisana situacija bez pomoći, koristeći metodu objašnjenu u tačkama 96 i 97 RAG-a (tačka 95 RAG-a). </w:t>
      </w:r>
    </w:p>
    <w:p w14:paraId="71DFFDE4" w14:textId="77777777" w:rsidR="00B52467" w:rsidRPr="0086255B" w:rsidRDefault="00B52467" w:rsidP="00B52467">
      <w:pPr>
        <w:tabs>
          <w:tab w:val="num" w:pos="1047"/>
        </w:tabs>
        <w:spacing w:before="120" w:after="120"/>
        <w:jc w:val="both"/>
        <w:rPr>
          <w:rFonts w:cstheme="minorHAnsi"/>
          <w:b/>
          <w:lang w:val="hr-HR" w:eastAsia="hr-HR" w:bidi="hr-HR"/>
        </w:rPr>
      </w:pPr>
      <w:r w:rsidRPr="0086255B">
        <w:rPr>
          <w:rFonts w:cstheme="minorHAnsi"/>
          <w:b/>
          <w:lang w:val="hr-HR" w:eastAsia="hr-HR" w:bidi="hr-HR"/>
        </w:rPr>
        <w:t>.........................................................................................................................................................</w:t>
      </w:r>
    </w:p>
    <w:p w14:paraId="391C1ADA" w14:textId="77777777" w:rsidR="00B52467" w:rsidRPr="0086255B" w:rsidRDefault="00B52467" w:rsidP="00B52467">
      <w:pPr>
        <w:numPr>
          <w:ilvl w:val="1"/>
          <w:numId w:val="4"/>
        </w:numPr>
        <w:tabs>
          <w:tab w:val="num" w:pos="840"/>
        </w:tabs>
        <w:spacing w:before="120" w:after="120" w:line="240" w:lineRule="auto"/>
        <w:ind w:left="0" w:firstLine="0"/>
        <w:jc w:val="both"/>
        <w:rPr>
          <w:rFonts w:cstheme="minorHAnsi"/>
          <w:b/>
          <w:lang w:val="hr-HR" w:eastAsia="hr-HR" w:bidi="hr-HR"/>
        </w:rPr>
      </w:pPr>
      <w:r w:rsidRPr="0086255B">
        <w:rPr>
          <w:rFonts w:cstheme="minorHAnsi"/>
          <w:b/>
          <w:lang w:val="hr-HR" w:eastAsia="hr-HR" w:bidi="hr-HR"/>
        </w:rPr>
        <w:t xml:space="preserve"> Izbjegavanje neopravdanih negativnih efekata na konkurenciju i trgovinu</w:t>
      </w:r>
    </w:p>
    <w:p w14:paraId="063EDCF7" w14:textId="77777777" w:rsidR="00B52467" w:rsidRPr="0086255B" w:rsidRDefault="00B52467" w:rsidP="00B52467">
      <w:pPr>
        <w:numPr>
          <w:ilvl w:val="2"/>
          <w:numId w:val="4"/>
        </w:numPr>
        <w:tabs>
          <w:tab w:val="clear" w:pos="2487"/>
        </w:tabs>
        <w:spacing w:before="120" w:after="120" w:line="240" w:lineRule="auto"/>
        <w:ind w:left="720"/>
        <w:jc w:val="both"/>
        <w:rPr>
          <w:rFonts w:cstheme="minorHAnsi"/>
          <w:lang w:val="hr-HR" w:eastAsia="hr-HR" w:bidi="hr-HR"/>
        </w:rPr>
      </w:pPr>
      <w:r w:rsidRPr="0086255B">
        <w:rPr>
          <w:rFonts w:cstheme="minorHAnsi"/>
          <w:lang w:val="hr-HR" w:eastAsia="hr-HR" w:bidi="hr-HR"/>
        </w:rPr>
        <w:t>Objasnite na koji će način narušavanje konkurencije i trgovine uzrokovano prijavljenom šemom pomoći biti svedeno na najniži mogući nivo (tačka 120 RAG-a)</w:t>
      </w:r>
      <w:r w:rsidRPr="0086255B">
        <w:rPr>
          <w:rStyle w:val="FootnoteReference"/>
          <w:rFonts w:cstheme="minorHAnsi"/>
        </w:rPr>
        <w:footnoteReference w:id="25"/>
      </w:r>
      <w:r w:rsidRPr="0086255B">
        <w:rPr>
          <w:rFonts w:cstheme="minorHAnsi"/>
          <w:lang w:val="hr-HR" w:eastAsia="hr-HR" w:bidi="hr-HR"/>
        </w:rPr>
        <w:t>:</w:t>
      </w:r>
    </w:p>
    <w:p w14:paraId="34AF92F3" w14:textId="77777777" w:rsidR="00B52467" w:rsidRPr="0086255B" w:rsidRDefault="00B52467" w:rsidP="00B52467">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4EA535FD" w14:textId="77777777" w:rsidR="00B52467" w:rsidRPr="0086255B" w:rsidRDefault="00B52467" w:rsidP="00B52467">
      <w:pPr>
        <w:numPr>
          <w:ilvl w:val="2"/>
          <w:numId w:val="4"/>
        </w:numPr>
        <w:tabs>
          <w:tab w:val="clear" w:pos="2487"/>
        </w:tabs>
        <w:spacing w:before="120" w:after="120" w:line="240" w:lineRule="auto"/>
        <w:ind w:left="720"/>
        <w:jc w:val="both"/>
        <w:rPr>
          <w:rFonts w:cstheme="minorHAnsi"/>
          <w:lang w:val="hr-HR" w:eastAsia="hr-HR" w:bidi="hr-HR"/>
        </w:rPr>
      </w:pPr>
      <w:r w:rsidRPr="0086255B">
        <w:rPr>
          <w:rFonts w:cstheme="minorHAnsi"/>
          <w:lang w:val="hr-HR" w:eastAsia="hr-HR" w:bidi="hr-HR"/>
        </w:rPr>
        <w:t>Navedite upućivanje na odgovarajuće odredbe pravnog osnova kojima je propisano da prilikom dodjele pomoći za individualne projekte u okviru šeme davalac pomoći mora provjeriti i potvrditi da pomoć ne dovodi do očigledno negativnih efekata kao što su stvaranje viška kapaciteta na tržištu koje je u apsolutnom padu (tačke 112 do 115 RAG-a), efekti smanjenja kohezije (tačke 116 i 117 RAG-a) ili premještanje (tačke 118 i 121 RAG-a)</w:t>
      </w:r>
    </w:p>
    <w:p w14:paraId="33151037" w14:textId="77777777" w:rsidR="00B52467" w:rsidRPr="0086255B" w:rsidRDefault="00B52467" w:rsidP="00B52467">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50"/>
      </w:tblGrid>
      <w:tr w:rsidR="00B52467" w:rsidRPr="0086255B" w14:paraId="292C50E6" w14:textId="77777777" w:rsidTr="00D507D9">
        <w:trPr>
          <w:trHeight w:val="467"/>
        </w:trPr>
        <w:tc>
          <w:tcPr>
            <w:tcW w:w="5000" w:type="pct"/>
            <w:tcBorders>
              <w:top w:val="single" w:sz="4" w:space="0" w:color="auto"/>
              <w:left w:val="single" w:sz="4" w:space="0" w:color="auto"/>
              <w:bottom w:val="single" w:sz="4" w:space="0" w:color="auto"/>
              <w:right w:val="single" w:sz="4" w:space="0" w:color="auto"/>
            </w:tcBorders>
            <w:shd w:val="pct15" w:color="auto" w:fill="FFFFFF"/>
          </w:tcPr>
          <w:p w14:paraId="4A1BD7A2" w14:textId="77777777" w:rsidR="00B52467" w:rsidRPr="0086255B" w:rsidRDefault="00B52467" w:rsidP="00B52467">
            <w:pPr>
              <w:pStyle w:val="ListParagraph"/>
              <w:keepNext/>
              <w:numPr>
                <w:ilvl w:val="0"/>
                <w:numId w:val="11"/>
              </w:numPr>
              <w:spacing w:after="120"/>
              <w:outlineLvl w:val="3"/>
              <w:rPr>
                <w:rFonts w:asciiTheme="minorHAnsi" w:eastAsia="Times New Roman" w:hAnsiTheme="minorHAnsi" w:cstheme="minorHAnsi"/>
                <w:b/>
                <w:bCs/>
                <w:iCs/>
                <w:sz w:val="22"/>
                <w:szCs w:val="22"/>
              </w:rPr>
            </w:pPr>
            <w:r w:rsidRPr="0086255B">
              <w:rPr>
                <w:rFonts w:asciiTheme="minorHAnsi" w:eastAsia="Times New Roman" w:hAnsiTheme="minorHAnsi" w:cstheme="minorHAnsi"/>
                <w:b/>
                <w:bCs/>
                <w:iCs/>
                <w:sz w:val="22"/>
                <w:szCs w:val="22"/>
              </w:rPr>
              <w:lastRenderedPageBreak/>
              <w:t>Transparentnost</w:t>
            </w:r>
          </w:p>
        </w:tc>
      </w:tr>
    </w:tbl>
    <w:p w14:paraId="24284260" w14:textId="77777777" w:rsidR="00B52467" w:rsidRPr="0086255B" w:rsidRDefault="00B52467" w:rsidP="00B52467">
      <w:pPr>
        <w:pStyle w:val="Normal127"/>
        <w:numPr>
          <w:ilvl w:val="1"/>
          <w:numId w:val="11"/>
        </w:numPr>
        <w:tabs>
          <w:tab w:val="clear" w:pos="720"/>
          <w:tab w:val="clear" w:pos="1440"/>
          <w:tab w:val="clear" w:pos="1797"/>
        </w:tabs>
        <w:spacing w:before="120"/>
        <w:rPr>
          <w:rFonts w:asciiTheme="minorHAnsi" w:hAnsiTheme="minorHAnsi" w:cstheme="minorHAnsi"/>
          <w:sz w:val="22"/>
          <w:szCs w:val="22"/>
          <w:shd w:val="clear" w:color="auto" w:fill="EBF6FF"/>
        </w:rPr>
      </w:pPr>
      <w:r w:rsidRPr="0086255B">
        <w:rPr>
          <w:rFonts w:asciiTheme="minorHAnsi" w:hAnsiTheme="minorHAnsi" w:cstheme="minorHAnsi"/>
          <w:sz w:val="22"/>
          <w:szCs w:val="22"/>
        </w:rPr>
        <w:t>Potvrdite da će se potpuni tekst o dodjeli pojedinačne pomoći ili odobreni program pomoći i njegove izvršne odredbe, ili link ka njemu i informacije o svakoj pojedinačnoj dodeli pomoći koja premašuje 100 000 EUR, objaviti koristeći strukturu iz Priloga VIII u Modulu za nagrade transparentnosti Evropske komisije ili na sveobuhvatnom veb-sajtu o državnoj pomoći, na nacionalnom ili regionalnom nivou</w:t>
      </w:r>
      <w:r w:rsidRPr="0086255B">
        <w:rPr>
          <w:rStyle w:val="FootnoteReference"/>
          <w:rFonts w:asciiTheme="minorHAnsi" w:hAnsiTheme="minorHAnsi" w:cstheme="minorHAnsi"/>
          <w:sz w:val="22"/>
          <w:szCs w:val="22"/>
        </w:rPr>
        <w:footnoteReference w:id="26"/>
      </w:r>
      <w:r w:rsidRPr="0086255B">
        <w:rPr>
          <w:rFonts w:asciiTheme="minorHAnsi" w:hAnsiTheme="minorHAnsi" w:cstheme="minorHAnsi"/>
          <w:sz w:val="22"/>
          <w:szCs w:val="22"/>
        </w:rPr>
        <w:t xml:space="preserve"> u roku od šest meseci od datuma dodele pomoći, ili, u slučaju pomoći u obliku poreskih olakšica, u roku od jedne godine od datuma kada je poreska prijava predviđena.</w:t>
      </w:r>
    </w:p>
    <w:bookmarkStart w:id="3" w:name="_Hlk217554665"/>
    <w:p w14:paraId="378726E8" w14:textId="77777777" w:rsidR="00B52467" w:rsidRPr="0086255B" w:rsidRDefault="00B52467" w:rsidP="00B52467">
      <w:pPr>
        <w:spacing w:before="120" w:after="120"/>
        <w:ind w:firstLine="360"/>
        <w:jc w:val="both"/>
        <w:rPr>
          <w:rFonts w:cstheme="minorHAnsi"/>
          <w:shd w:val="clear" w:color="auto" w:fill="EBF6FF"/>
        </w:rPr>
      </w:pPr>
      <w:r w:rsidRPr="0086255B">
        <w:rPr>
          <w:rFonts w:eastAsia="Times New Roman" w:cstheme="minorHAnsi"/>
          <w:lang w:val="hr-HR" w:eastAsia="hr-HR" w:bidi="hr-HR"/>
        </w:rPr>
        <w:fldChar w:fldCharType="begin">
          <w:ffData>
            <w:name w:val="Check1"/>
            <w:enabled/>
            <w:calcOnExit w:val="0"/>
            <w:checkBox>
              <w:sizeAuto/>
              <w:default w:val="0"/>
            </w:checkBox>
          </w:ffData>
        </w:fldChar>
      </w:r>
      <w:r w:rsidRPr="0086255B">
        <w:rPr>
          <w:rFonts w:eastAsia="Times New Roman" w:cstheme="minorHAnsi"/>
          <w:lang w:val="hr-HR" w:eastAsia="hr-HR" w:bidi="hr-HR"/>
        </w:rPr>
        <w:instrText xml:space="preserve"> FORMCHECKBOX </w:instrText>
      </w:r>
      <w:r>
        <w:rPr>
          <w:rFonts w:eastAsia="Times New Roman" w:cstheme="minorHAnsi"/>
          <w:lang w:val="hr-HR" w:eastAsia="hr-HR" w:bidi="hr-HR"/>
        </w:rPr>
      </w:r>
      <w:r>
        <w:rPr>
          <w:rFonts w:eastAsia="Times New Roman" w:cstheme="minorHAnsi"/>
          <w:lang w:val="hr-HR" w:eastAsia="hr-HR" w:bidi="hr-HR"/>
        </w:rPr>
        <w:fldChar w:fldCharType="separate"/>
      </w:r>
      <w:r w:rsidRPr="0086255B">
        <w:rPr>
          <w:rFonts w:eastAsia="Times New Roman" w:cstheme="minorHAnsi"/>
          <w:lang w:val="hr-HR" w:eastAsia="hr-HR" w:bidi="hr-HR"/>
        </w:rPr>
        <w:fldChar w:fldCharType="end"/>
      </w:r>
      <w:r w:rsidRPr="0086255B">
        <w:rPr>
          <w:rFonts w:eastAsia="Times New Roman" w:cstheme="minorHAnsi"/>
          <w:lang w:val="hr-HR" w:eastAsia="hr-HR" w:bidi="hr-HR"/>
        </w:rPr>
        <w:t xml:space="preserve"> </w:t>
      </w:r>
      <w:r w:rsidRPr="0086255B">
        <w:rPr>
          <w:rFonts w:eastAsia="Times New Roman" w:cstheme="minorHAnsi"/>
          <w:lang w:val="hr-HR" w:eastAsia="hr-HR" w:bidi="hr-HR"/>
        </w:rPr>
        <w:tab/>
        <w:t>da</w:t>
      </w:r>
    </w:p>
    <w:bookmarkEnd w:id="3"/>
    <w:p w14:paraId="56EC5770" w14:textId="77777777" w:rsidR="00B52467" w:rsidRPr="0086255B" w:rsidRDefault="00B52467" w:rsidP="00B52467">
      <w:pPr>
        <w:pStyle w:val="Normal127"/>
        <w:numPr>
          <w:ilvl w:val="1"/>
          <w:numId w:val="11"/>
        </w:numPr>
        <w:tabs>
          <w:tab w:val="clear" w:pos="720"/>
          <w:tab w:val="clear" w:pos="1440"/>
          <w:tab w:val="clear" w:pos="1797"/>
        </w:tabs>
        <w:spacing w:before="120"/>
        <w:rPr>
          <w:rFonts w:asciiTheme="minorHAnsi" w:hAnsiTheme="minorHAnsi" w:cstheme="minorHAnsi"/>
          <w:sz w:val="22"/>
          <w:szCs w:val="22"/>
        </w:rPr>
      </w:pPr>
      <w:r w:rsidRPr="0086255B">
        <w:rPr>
          <w:rFonts w:asciiTheme="minorHAnsi" w:hAnsiTheme="minorHAnsi" w:cstheme="minorHAnsi"/>
          <w:sz w:val="22"/>
          <w:szCs w:val="22"/>
        </w:rPr>
        <w:t>Navedite upućivanje na odgovarajuće odredbe pravnog osnova koje propisuju da davalac pomoći treba da objavi na Modulu za transparentnost dodela ili na sveobuhvatnom veb-sajtu za državnu pomoć, na nacionalnom ili regionalnom nivou</w:t>
      </w:r>
      <w:r w:rsidRPr="0086255B">
        <w:rPr>
          <w:rStyle w:val="FootnoteReference"/>
          <w:rFonts w:asciiTheme="minorHAnsi" w:hAnsiTheme="minorHAnsi" w:cstheme="minorHAnsi"/>
          <w:sz w:val="22"/>
          <w:szCs w:val="22"/>
        </w:rPr>
        <w:footnoteReference w:id="27"/>
      </w:r>
      <w:r w:rsidRPr="0086255B">
        <w:rPr>
          <w:rFonts w:asciiTheme="minorHAnsi" w:hAnsiTheme="minorHAnsi" w:cstheme="minorHAnsi"/>
          <w:sz w:val="22"/>
          <w:szCs w:val="22"/>
        </w:rPr>
        <w:t>, najmanje sljedeće informacije o prijavljenim šemama državne pomoći: tekst prijavljene šeme pomoći i njene izvršne odredbe, davaoca pomoći, pojedinačne korisnike, iznos pomoći po korisniku i intenzitet pomoći (stav 136 RAG-a).</w:t>
      </w:r>
    </w:p>
    <w:p w14:paraId="43E356A1" w14:textId="77777777" w:rsidR="00B52467" w:rsidRPr="0086255B" w:rsidRDefault="00B52467" w:rsidP="00B52467">
      <w:pPr>
        <w:spacing w:before="120" w:after="120"/>
        <w:ind w:left="360"/>
        <w:jc w:val="both"/>
        <w:rPr>
          <w:rFonts w:cstheme="minorHAnsi"/>
          <w:lang w:val="hr-HR" w:eastAsia="hr-HR" w:bidi="hr-HR"/>
        </w:rPr>
      </w:pPr>
      <w:r w:rsidRPr="0086255B">
        <w:rPr>
          <w:rFonts w:cstheme="minorHAnsi"/>
          <w:lang w:val="hr-HR" w:eastAsia="hr-HR" w:bidi="hr-HR"/>
        </w:rPr>
        <w:t>Ako takve odredbe nisu na snazi, objasnite zašto nisu. Isto tako, ako takve odredbe nisu sadržane u pravnoj osnovi za prijavljenu šemu, ali su sadržane u drugim zakonodavnim dokumentima, molimo to naznačite.</w:t>
      </w:r>
    </w:p>
    <w:p w14:paraId="037F2A65" w14:textId="77777777" w:rsidR="00B52467" w:rsidRPr="0086255B" w:rsidRDefault="00B52467" w:rsidP="00B52467">
      <w:pPr>
        <w:spacing w:before="120" w:after="120"/>
        <w:jc w:val="both"/>
        <w:rPr>
          <w:rFonts w:cstheme="minorHAnsi"/>
          <w:lang w:val="hr-HR" w:eastAsia="hr-HR" w:bidi="hr-HR"/>
        </w:rPr>
      </w:pPr>
      <w:r w:rsidRPr="0086255B">
        <w:rPr>
          <w:rFonts w:cstheme="minorHAnsi"/>
          <w:lang w:val="hr-HR" w:eastAsia="hr-HR" w:bidi="hr-HR"/>
        </w:rPr>
        <w:t>..................................................................................................................................................................</w:t>
      </w:r>
    </w:p>
    <w:p w14:paraId="408A183E" w14:textId="77777777" w:rsidR="00B52467" w:rsidRPr="0086255B" w:rsidRDefault="00B52467" w:rsidP="00B52467">
      <w:pPr>
        <w:tabs>
          <w:tab w:val="num" w:pos="360"/>
        </w:tabs>
        <w:spacing w:before="120" w:after="120"/>
        <w:ind w:left="360"/>
        <w:jc w:val="both"/>
        <w:rPr>
          <w:rFonts w:cstheme="minorHAnsi"/>
          <w:lang w:val="hr-HR" w:eastAsia="hr-HR" w:bidi="hr-HR"/>
        </w:rPr>
      </w:pPr>
      <w:r w:rsidRPr="0086255B">
        <w:rPr>
          <w:rFonts w:cstheme="minorHAnsi"/>
          <w:lang w:val="hr-HR" w:eastAsia="hr-HR" w:bidi="hr-HR"/>
        </w:rPr>
        <w:t>Navedite upućivanja na odgovarajuće odredbe pravnog osnova koje propisuju da će gore navedene informacije biti dostupne široj javnosti bez ograničenja najmanje 10 godina od datuma dodejle pomoći (stav 140 RAG-a).</w:t>
      </w:r>
    </w:p>
    <w:p w14:paraId="0CD0DB2B" w14:textId="77777777" w:rsidR="00B52467" w:rsidRPr="0086255B" w:rsidRDefault="00B52467" w:rsidP="00B52467">
      <w:pPr>
        <w:tabs>
          <w:tab w:val="num" w:pos="360"/>
        </w:tabs>
        <w:spacing w:before="120" w:after="120"/>
        <w:jc w:val="both"/>
        <w:rPr>
          <w:rFonts w:cstheme="minorHAnsi"/>
          <w:lang w:val="hr-HR" w:eastAsia="hr-HR" w:bidi="hr-HR"/>
        </w:rPr>
      </w:pPr>
      <w:r w:rsidRPr="0086255B">
        <w:rPr>
          <w:rFonts w:cstheme="minorHAnsi"/>
          <w:lang w:val="hr-HR" w:eastAsia="hr-HR" w:bidi="hr-HR"/>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B52467" w:rsidRPr="0086255B" w14:paraId="6E7E9CA4" w14:textId="77777777" w:rsidTr="00D507D9">
        <w:tc>
          <w:tcPr>
            <w:tcW w:w="5000" w:type="pct"/>
            <w:shd w:val="clear" w:color="auto" w:fill="BFBFBF"/>
          </w:tcPr>
          <w:p w14:paraId="4374AF87" w14:textId="77777777" w:rsidR="00B52467" w:rsidRPr="0086255B" w:rsidRDefault="00B52467" w:rsidP="00B52467">
            <w:pPr>
              <w:numPr>
                <w:ilvl w:val="0"/>
                <w:numId w:val="11"/>
              </w:numPr>
              <w:spacing w:before="120" w:after="120" w:line="240" w:lineRule="auto"/>
              <w:jc w:val="both"/>
              <w:rPr>
                <w:rFonts w:cstheme="minorHAnsi"/>
                <w:b/>
                <w:lang w:val="hr-HR" w:eastAsia="hr-HR" w:bidi="hr-HR"/>
              </w:rPr>
            </w:pPr>
            <w:r w:rsidRPr="0086255B">
              <w:rPr>
                <w:rFonts w:cstheme="minorHAnsi"/>
                <w:b/>
                <w:lang w:val="hr-HR" w:eastAsia="hr-HR" w:bidi="hr-HR"/>
              </w:rPr>
              <w:t>Evaluacija, izvještavanje i praćenje</w:t>
            </w:r>
          </w:p>
        </w:tc>
      </w:tr>
    </w:tbl>
    <w:p w14:paraId="0A4C2E2D" w14:textId="77777777" w:rsidR="00B52467" w:rsidRPr="0086255B" w:rsidRDefault="00B52467" w:rsidP="00B52467">
      <w:pPr>
        <w:pStyle w:val="Normal127"/>
        <w:numPr>
          <w:ilvl w:val="1"/>
          <w:numId w:val="11"/>
        </w:numPr>
        <w:tabs>
          <w:tab w:val="clear" w:pos="720"/>
          <w:tab w:val="clear" w:pos="1440"/>
          <w:tab w:val="clear" w:pos="1797"/>
        </w:tabs>
        <w:spacing w:before="120"/>
        <w:rPr>
          <w:rFonts w:asciiTheme="minorHAnsi" w:hAnsiTheme="minorHAnsi" w:cstheme="minorHAnsi"/>
          <w:b/>
          <w:sz w:val="22"/>
          <w:szCs w:val="22"/>
        </w:rPr>
      </w:pPr>
      <w:r w:rsidRPr="0086255B">
        <w:rPr>
          <w:rFonts w:asciiTheme="minorHAnsi" w:hAnsiTheme="minorHAnsi" w:cstheme="minorHAnsi"/>
          <w:b/>
          <w:sz w:val="22"/>
          <w:szCs w:val="22"/>
        </w:rPr>
        <w:t>Evaluacija</w:t>
      </w:r>
    </w:p>
    <w:p w14:paraId="27942BB9" w14:textId="77777777" w:rsidR="00B52467" w:rsidRPr="0086255B" w:rsidRDefault="00B52467" w:rsidP="00B52467">
      <w:pPr>
        <w:pStyle w:val="Normal127"/>
        <w:numPr>
          <w:ilvl w:val="2"/>
          <w:numId w:val="11"/>
        </w:numPr>
        <w:tabs>
          <w:tab w:val="clear" w:pos="720"/>
          <w:tab w:val="clear" w:pos="1440"/>
          <w:tab w:val="clear" w:pos="1797"/>
        </w:tabs>
        <w:spacing w:before="120"/>
        <w:rPr>
          <w:rFonts w:asciiTheme="minorHAnsi" w:eastAsia="Calibri" w:hAnsiTheme="minorHAnsi" w:cstheme="minorHAnsi"/>
          <w:sz w:val="22"/>
          <w:szCs w:val="22"/>
        </w:rPr>
      </w:pPr>
      <w:r w:rsidRPr="0086255B">
        <w:rPr>
          <w:rFonts w:asciiTheme="minorHAnsi" w:eastAsia="Calibri" w:hAnsiTheme="minorHAnsi" w:cstheme="minorHAnsi"/>
          <w:sz w:val="22"/>
          <w:szCs w:val="22"/>
        </w:rPr>
        <w:t>Navedite broj državne pomoći svih prethodnih i postojećih šema državnih pomoći sa sličnim ciljem i geografskim područjem (tačka 144 RAG-a).</w:t>
      </w:r>
    </w:p>
    <w:p w14:paraId="7A5E1499" w14:textId="77777777" w:rsidR="00B52467" w:rsidRPr="0086255B" w:rsidRDefault="00B52467" w:rsidP="00B52467">
      <w:pPr>
        <w:pStyle w:val="NormalKop111"/>
        <w:tabs>
          <w:tab w:val="clear" w:pos="720"/>
          <w:tab w:val="clear" w:pos="1440"/>
          <w:tab w:val="clear" w:pos="1797"/>
        </w:tabs>
        <w:spacing w:before="120"/>
        <w:ind w:left="0"/>
        <w:rPr>
          <w:rFonts w:asciiTheme="minorHAnsi" w:eastAsia="Calibri" w:hAnsiTheme="minorHAnsi" w:cstheme="minorHAnsi"/>
          <w:sz w:val="22"/>
          <w:szCs w:val="22"/>
        </w:rPr>
      </w:pPr>
      <w:r w:rsidRPr="0086255B">
        <w:rPr>
          <w:rFonts w:asciiTheme="minorHAnsi" w:eastAsia="Calibri" w:hAnsiTheme="minorHAnsi" w:cstheme="minorHAnsi"/>
          <w:sz w:val="22"/>
          <w:szCs w:val="22"/>
        </w:rPr>
        <w:t>..................................................................................................................................................................</w:t>
      </w:r>
    </w:p>
    <w:p w14:paraId="06491ADC" w14:textId="77777777" w:rsidR="00B52467" w:rsidRPr="0086255B" w:rsidRDefault="00B52467" w:rsidP="00B52467">
      <w:pPr>
        <w:pStyle w:val="NormalKop111"/>
        <w:tabs>
          <w:tab w:val="clear" w:pos="720"/>
          <w:tab w:val="clear" w:pos="1440"/>
          <w:tab w:val="clear" w:pos="1797"/>
        </w:tabs>
        <w:spacing w:before="120"/>
        <w:ind w:left="0"/>
        <w:rPr>
          <w:rFonts w:asciiTheme="minorHAnsi" w:eastAsia="Calibri" w:hAnsiTheme="minorHAnsi" w:cstheme="minorHAnsi"/>
          <w:sz w:val="22"/>
          <w:szCs w:val="22"/>
        </w:rPr>
      </w:pPr>
      <w:r w:rsidRPr="0086255B">
        <w:rPr>
          <w:rFonts w:asciiTheme="minorHAnsi" w:eastAsia="Calibri" w:hAnsiTheme="minorHAnsi" w:cstheme="minorHAnsi"/>
          <w:sz w:val="22"/>
          <w:szCs w:val="22"/>
        </w:rPr>
        <w:t>Da li je bilo koja od gore navedenih državnih pomoćnih šema ocijenjena naknadno (</w:t>
      </w:r>
      <w:r w:rsidRPr="0086255B">
        <w:rPr>
          <w:rFonts w:asciiTheme="minorHAnsi" w:eastAsia="Calibri" w:hAnsiTheme="minorHAnsi" w:cstheme="minorHAnsi"/>
          <w:i/>
          <w:sz w:val="22"/>
          <w:szCs w:val="22"/>
        </w:rPr>
        <w:t>ex post</w:t>
      </w:r>
      <w:r w:rsidRPr="0086255B">
        <w:rPr>
          <w:rFonts w:asciiTheme="minorHAnsi" w:eastAsia="Calibri" w:hAnsiTheme="minorHAnsi" w:cstheme="minorHAnsi"/>
          <w:sz w:val="22"/>
          <w:szCs w:val="22"/>
        </w:rPr>
        <w:t>)? (tačka 144 RAG-a)?</w:t>
      </w:r>
    </w:p>
    <w:p w14:paraId="3D982557" w14:textId="77777777" w:rsidR="00B52467" w:rsidRPr="0086255B" w:rsidRDefault="00B52467" w:rsidP="00B52467">
      <w:pPr>
        <w:pStyle w:val="NormalKop111"/>
        <w:numPr>
          <w:ilvl w:val="0"/>
          <w:numId w:val="9"/>
        </w:numPr>
        <w:spacing w:before="120"/>
        <w:rPr>
          <w:rFonts w:asciiTheme="minorHAnsi" w:hAnsiTheme="minorHAnsi" w:cstheme="minorHAnsi"/>
          <w:sz w:val="22"/>
          <w:szCs w:val="22"/>
          <w:lang w:val="en-GB"/>
        </w:rPr>
      </w:pPr>
      <w:r w:rsidRPr="0086255B">
        <w:rPr>
          <w:rFonts w:asciiTheme="minorHAnsi" w:hAnsiTheme="minorHAnsi" w:cstheme="minorHAnsi"/>
          <w:sz w:val="22"/>
          <w:szCs w:val="22"/>
        </w:rPr>
        <w:fldChar w:fldCharType="begin">
          <w:ffData>
            <w:name w:val="Check1"/>
            <w:enabled/>
            <w:calcOnExit w:val="0"/>
            <w:checkBox>
              <w:sizeAuto/>
              <w:default w:val="0"/>
            </w:checkBox>
          </w:ffData>
        </w:fldChar>
      </w:r>
      <w:r w:rsidRPr="0086255B">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86255B">
        <w:rPr>
          <w:rFonts w:asciiTheme="minorHAnsi" w:hAnsiTheme="minorHAnsi" w:cstheme="minorHAnsi"/>
          <w:sz w:val="22"/>
          <w:szCs w:val="22"/>
        </w:rPr>
        <w:fldChar w:fldCharType="end"/>
      </w:r>
      <w:r w:rsidRPr="0086255B">
        <w:rPr>
          <w:rFonts w:asciiTheme="minorHAnsi" w:hAnsiTheme="minorHAnsi" w:cstheme="minorHAnsi"/>
          <w:sz w:val="22"/>
          <w:szCs w:val="22"/>
        </w:rPr>
        <w:t xml:space="preserve">  da</w:t>
      </w:r>
    </w:p>
    <w:p w14:paraId="10DD5605" w14:textId="77777777" w:rsidR="00B52467" w:rsidRPr="0086255B" w:rsidRDefault="00B52467" w:rsidP="00B52467">
      <w:pPr>
        <w:numPr>
          <w:ilvl w:val="0"/>
          <w:numId w:val="9"/>
        </w:numPr>
        <w:spacing w:before="120" w:after="120" w:line="240" w:lineRule="auto"/>
        <w:jc w:val="both"/>
        <w:rPr>
          <w:rFonts w:cstheme="minorHAnsi"/>
          <w:shd w:val="clear" w:color="auto" w:fill="EBF6FF"/>
        </w:rPr>
      </w:pPr>
      <w:r w:rsidRPr="0086255B">
        <w:rPr>
          <w:rFonts w:eastAsia="Times New Roman" w:cstheme="minorHAnsi"/>
          <w:lang w:val="hr-HR" w:eastAsia="hr-HR" w:bidi="hr-HR"/>
        </w:rPr>
        <w:fldChar w:fldCharType="begin">
          <w:ffData>
            <w:name w:val="Check1"/>
            <w:enabled/>
            <w:calcOnExit w:val="0"/>
            <w:checkBox>
              <w:sizeAuto/>
              <w:default w:val="0"/>
            </w:checkBox>
          </w:ffData>
        </w:fldChar>
      </w:r>
      <w:r w:rsidRPr="0086255B">
        <w:rPr>
          <w:rFonts w:eastAsia="Times New Roman" w:cstheme="minorHAnsi"/>
          <w:lang w:val="hr-HR" w:eastAsia="hr-HR" w:bidi="hr-HR"/>
        </w:rPr>
        <w:instrText xml:space="preserve"> FORMCHECKBOX </w:instrText>
      </w:r>
      <w:r>
        <w:rPr>
          <w:rFonts w:eastAsia="Times New Roman" w:cstheme="minorHAnsi"/>
          <w:lang w:val="hr-HR" w:eastAsia="hr-HR" w:bidi="hr-HR"/>
        </w:rPr>
      </w:r>
      <w:r>
        <w:rPr>
          <w:rFonts w:eastAsia="Times New Roman" w:cstheme="minorHAnsi"/>
          <w:lang w:val="hr-HR" w:eastAsia="hr-HR" w:bidi="hr-HR"/>
        </w:rPr>
        <w:fldChar w:fldCharType="separate"/>
      </w:r>
      <w:r w:rsidRPr="0086255B">
        <w:rPr>
          <w:rFonts w:eastAsia="Times New Roman" w:cstheme="minorHAnsi"/>
          <w:lang w:val="hr-HR" w:eastAsia="hr-HR" w:bidi="hr-HR"/>
        </w:rPr>
        <w:fldChar w:fldCharType="end"/>
      </w:r>
      <w:r w:rsidRPr="0086255B">
        <w:rPr>
          <w:rFonts w:eastAsia="Times New Roman" w:cstheme="minorHAnsi"/>
          <w:lang w:val="hr-HR" w:eastAsia="hr-HR" w:bidi="hr-HR"/>
        </w:rPr>
        <w:t xml:space="preserve"> </w:t>
      </w:r>
      <w:r w:rsidRPr="0086255B">
        <w:rPr>
          <w:rFonts w:eastAsia="Times New Roman" w:cstheme="minorHAnsi"/>
          <w:lang w:val="hr-HR" w:eastAsia="hr-HR" w:bidi="hr-HR"/>
        </w:rPr>
        <w:tab/>
        <w:t xml:space="preserve"> ne</w:t>
      </w:r>
    </w:p>
    <w:p w14:paraId="1639C85F" w14:textId="77777777" w:rsidR="00B52467" w:rsidRPr="0086255B" w:rsidRDefault="00B52467" w:rsidP="00B52467">
      <w:pPr>
        <w:spacing w:before="120" w:after="120"/>
        <w:jc w:val="both"/>
        <w:rPr>
          <w:rFonts w:cstheme="minorHAnsi"/>
          <w:lang w:val="hr-HR" w:eastAsia="hr-HR" w:bidi="hr-HR"/>
        </w:rPr>
      </w:pPr>
      <w:r w:rsidRPr="0086255B">
        <w:rPr>
          <w:rFonts w:cstheme="minorHAnsi"/>
          <w:lang w:val="hr-HR" w:eastAsia="hr-HR" w:bidi="hr-HR"/>
        </w:rPr>
        <w:t xml:space="preserve">Ako je odgovor potvrdan, ukratko navedite glavne rezultate </w:t>
      </w:r>
      <w:r w:rsidRPr="0086255B">
        <w:rPr>
          <w:rFonts w:cstheme="minorHAnsi"/>
          <w:i/>
          <w:lang w:val="hr-HR" w:eastAsia="hr-HR" w:bidi="hr-HR"/>
        </w:rPr>
        <w:t>ex post</w:t>
      </w:r>
      <w:r w:rsidRPr="0086255B">
        <w:rPr>
          <w:rFonts w:cstheme="minorHAnsi"/>
          <w:lang w:val="hr-HR" w:eastAsia="hr-HR" w:bidi="hr-HR"/>
        </w:rPr>
        <w:t xml:space="preserve"> evaluacije (gdje je relevantno sa upućivanjem i linkom).</w:t>
      </w:r>
    </w:p>
    <w:p w14:paraId="41C8B416" w14:textId="77777777" w:rsidR="00B52467" w:rsidRPr="0086255B" w:rsidRDefault="00B52467" w:rsidP="00B52467">
      <w:pPr>
        <w:spacing w:before="120" w:after="120"/>
        <w:jc w:val="both"/>
        <w:rPr>
          <w:rFonts w:cstheme="minorHAnsi"/>
          <w:lang w:val="hr-HR" w:eastAsia="hr-HR" w:bidi="hr-HR"/>
        </w:rPr>
      </w:pPr>
      <w:r w:rsidRPr="0086255B">
        <w:rPr>
          <w:rFonts w:cstheme="minorHAnsi"/>
          <w:lang w:val="hr-HR" w:eastAsia="hr-HR" w:bidi="hr-HR"/>
        </w:rPr>
        <w:t>..................................................................................................................................................................</w:t>
      </w:r>
    </w:p>
    <w:p w14:paraId="4BB18616" w14:textId="77777777" w:rsidR="00B52467" w:rsidRPr="0086255B" w:rsidRDefault="00B52467" w:rsidP="00B52467">
      <w:pPr>
        <w:spacing w:before="120" w:after="120"/>
        <w:jc w:val="both"/>
        <w:rPr>
          <w:rFonts w:cstheme="minorHAnsi"/>
          <w:lang w:val="hr-HR" w:eastAsia="hr-HR" w:bidi="hr-HR"/>
        </w:rPr>
      </w:pPr>
      <w:r w:rsidRPr="0086255B">
        <w:rPr>
          <w:rFonts w:cstheme="minorHAnsi"/>
          <w:lang w:val="hr-HR" w:eastAsia="hr-HR" w:bidi="hr-HR"/>
        </w:rPr>
        <w:lastRenderedPageBreak/>
        <w:t>Opišite kako su rezultati ovih procjena uzeti u obzir prilikom dizajniranja nove šeme.</w:t>
      </w:r>
    </w:p>
    <w:p w14:paraId="7471C884" w14:textId="77777777" w:rsidR="00B52467" w:rsidRPr="0086255B" w:rsidRDefault="00B52467" w:rsidP="00B52467">
      <w:pPr>
        <w:spacing w:before="120" w:after="120"/>
        <w:jc w:val="both"/>
        <w:rPr>
          <w:rFonts w:cstheme="minorHAnsi"/>
          <w:lang w:val="hr-HR" w:eastAsia="hr-HR" w:bidi="hr-HR"/>
        </w:rPr>
      </w:pPr>
      <w:r w:rsidRPr="0086255B">
        <w:rPr>
          <w:rFonts w:cstheme="minorHAnsi"/>
          <w:lang w:val="hr-HR" w:eastAsia="hr-HR" w:bidi="hr-HR"/>
        </w:rPr>
        <w:t>..................................................................................................................................................................</w:t>
      </w:r>
    </w:p>
    <w:p w14:paraId="4C265794" w14:textId="77777777" w:rsidR="00B52467" w:rsidRPr="0086255B" w:rsidRDefault="00B52467" w:rsidP="00B52467">
      <w:pPr>
        <w:pStyle w:val="Normal127"/>
        <w:numPr>
          <w:ilvl w:val="2"/>
          <w:numId w:val="11"/>
        </w:numPr>
        <w:tabs>
          <w:tab w:val="clear" w:pos="720"/>
          <w:tab w:val="clear" w:pos="1440"/>
          <w:tab w:val="clear" w:pos="1797"/>
        </w:tabs>
        <w:spacing w:before="120"/>
        <w:rPr>
          <w:rFonts w:asciiTheme="minorHAnsi" w:eastAsia="Calibri" w:hAnsiTheme="minorHAnsi" w:cstheme="minorHAnsi"/>
          <w:sz w:val="22"/>
          <w:szCs w:val="22"/>
        </w:rPr>
      </w:pPr>
      <w:r w:rsidRPr="0086255B">
        <w:rPr>
          <w:rFonts w:asciiTheme="minorHAnsi" w:eastAsia="Calibri" w:hAnsiTheme="minorHAnsi" w:cstheme="minorHAnsi"/>
          <w:sz w:val="22"/>
          <w:szCs w:val="22"/>
        </w:rPr>
        <w:t>Označite da li budžet šeme državne pomoći prelazi 150 miliona EUR u bilo kojoj godini (tačka 143 RAG-a):</w:t>
      </w:r>
    </w:p>
    <w:bookmarkStart w:id="4" w:name="_Hlk221792375"/>
    <w:p w14:paraId="75FAAAB2" w14:textId="77777777" w:rsidR="00B52467" w:rsidRPr="0086255B" w:rsidRDefault="00B52467" w:rsidP="00B52467">
      <w:pPr>
        <w:pStyle w:val="NormalKop111"/>
        <w:numPr>
          <w:ilvl w:val="0"/>
          <w:numId w:val="9"/>
        </w:numPr>
        <w:spacing w:before="120"/>
        <w:rPr>
          <w:rFonts w:asciiTheme="minorHAnsi" w:hAnsiTheme="minorHAnsi" w:cstheme="minorHAnsi"/>
          <w:sz w:val="22"/>
          <w:szCs w:val="22"/>
          <w:lang w:val="en-GB"/>
        </w:rPr>
      </w:pPr>
      <w:r w:rsidRPr="0086255B">
        <w:rPr>
          <w:rFonts w:asciiTheme="minorHAnsi" w:hAnsiTheme="minorHAnsi" w:cstheme="minorHAnsi"/>
          <w:sz w:val="22"/>
          <w:szCs w:val="22"/>
        </w:rPr>
        <w:fldChar w:fldCharType="begin">
          <w:ffData>
            <w:name w:val="Check1"/>
            <w:enabled/>
            <w:calcOnExit w:val="0"/>
            <w:checkBox>
              <w:sizeAuto/>
              <w:default w:val="0"/>
            </w:checkBox>
          </w:ffData>
        </w:fldChar>
      </w:r>
      <w:r w:rsidRPr="0086255B">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86255B">
        <w:rPr>
          <w:rFonts w:asciiTheme="minorHAnsi" w:hAnsiTheme="minorHAnsi" w:cstheme="minorHAnsi"/>
          <w:sz w:val="22"/>
          <w:szCs w:val="22"/>
        </w:rPr>
        <w:fldChar w:fldCharType="end"/>
      </w:r>
      <w:r w:rsidRPr="0086255B">
        <w:rPr>
          <w:rFonts w:asciiTheme="minorHAnsi" w:hAnsiTheme="minorHAnsi" w:cstheme="minorHAnsi"/>
          <w:sz w:val="22"/>
          <w:szCs w:val="22"/>
        </w:rPr>
        <w:t xml:space="preserve">  da</w:t>
      </w:r>
    </w:p>
    <w:p w14:paraId="2C735804" w14:textId="77777777" w:rsidR="00B52467" w:rsidRPr="0086255B" w:rsidRDefault="00B52467" w:rsidP="00B52467">
      <w:pPr>
        <w:numPr>
          <w:ilvl w:val="0"/>
          <w:numId w:val="9"/>
        </w:numPr>
        <w:spacing w:before="120" w:after="120" w:line="240" w:lineRule="auto"/>
        <w:jc w:val="both"/>
        <w:rPr>
          <w:rFonts w:eastAsia="Times New Roman" w:cstheme="minorHAnsi"/>
          <w:lang w:val="hr-HR" w:eastAsia="hr-HR" w:bidi="hr-HR"/>
        </w:rPr>
      </w:pPr>
      <w:r w:rsidRPr="0086255B">
        <w:rPr>
          <w:rFonts w:eastAsia="Times New Roman" w:cstheme="minorHAnsi"/>
          <w:lang w:val="hr-HR" w:eastAsia="hr-HR" w:bidi="hr-HR"/>
        </w:rPr>
        <w:fldChar w:fldCharType="begin">
          <w:ffData>
            <w:name w:val="Check1"/>
            <w:enabled/>
            <w:calcOnExit w:val="0"/>
            <w:checkBox>
              <w:sizeAuto/>
              <w:default w:val="0"/>
            </w:checkBox>
          </w:ffData>
        </w:fldChar>
      </w:r>
      <w:r w:rsidRPr="0086255B">
        <w:rPr>
          <w:rFonts w:eastAsia="Times New Roman" w:cstheme="minorHAnsi"/>
          <w:lang w:val="hr-HR" w:eastAsia="hr-HR" w:bidi="hr-HR"/>
        </w:rPr>
        <w:instrText xml:space="preserve"> FORMCHECKBOX </w:instrText>
      </w:r>
      <w:r>
        <w:rPr>
          <w:rFonts w:eastAsia="Times New Roman" w:cstheme="minorHAnsi"/>
          <w:lang w:val="hr-HR" w:eastAsia="hr-HR" w:bidi="hr-HR"/>
        </w:rPr>
      </w:r>
      <w:r>
        <w:rPr>
          <w:rFonts w:eastAsia="Times New Roman" w:cstheme="minorHAnsi"/>
          <w:lang w:val="hr-HR" w:eastAsia="hr-HR" w:bidi="hr-HR"/>
        </w:rPr>
        <w:fldChar w:fldCharType="separate"/>
      </w:r>
      <w:r w:rsidRPr="0086255B">
        <w:rPr>
          <w:rFonts w:eastAsia="Times New Roman" w:cstheme="minorHAnsi"/>
          <w:lang w:val="hr-HR" w:eastAsia="hr-HR" w:bidi="hr-HR"/>
        </w:rPr>
        <w:fldChar w:fldCharType="end"/>
      </w:r>
      <w:r w:rsidRPr="0086255B">
        <w:rPr>
          <w:rFonts w:eastAsia="Times New Roman" w:cstheme="minorHAnsi"/>
          <w:lang w:val="hr-HR" w:eastAsia="hr-HR" w:bidi="hr-HR"/>
        </w:rPr>
        <w:t xml:space="preserve"> </w:t>
      </w:r>
      <w:r w:rsidRPr="0086255B">
        <w:rPr>
          <w:rFonts w:eastAsia="Times New Roman" w:cstheme="minorHAnsi"/>
          <w:lang w:val="hr-HR" w:eastAsia="hr-HR" w:bidi="hr-HR"/>
        </w:rPr>
        <w:tab/>
        <w:t xml:space="preserve"> ne</w:t>
      </w:r>
    </w:p>
    <w:bookmarkEnd w:id="4"/>
    <w:p w14:paraId="600453EA" w14:textId="77777777" w:rsidR="00B52467" w:rsidRPr="0086255B" w:rsidRDefault="00B52467" w:rsidP="00B52467">
      <w:pPr>
        <w:spacing w:before="120" w:after="120"/>
        <w:jc w:val="both"/>
        <w:rPr>
          <w:rFonts w:cstheme="minorHAnsi"/>
          <w:lang w:val="hr-HR" w:eastAsia="hr-HR" w:bidi="hr-HR"/>
        </w:rPr>
      </w:pPr>
      <w:r w:rsidRPr="0086255B">
        <w:rPr>
          <w:rFonts w:cstheme="minorHAnsi"/>
          <w:lang w:val="hr-HR" w:eastAsia="hr-HR" w:bidi="hr-HR"/>
        </w:rPr>
        <w:t>Označite da li budžet šeme državne pomoći prelazi 750 miliona EUR tokom ukupnog trajanja šeme (tj. kombinovanog trajanja šeme i bilo koje prethodne šeme koja pokriva sličan cilj i geografsko područje, počevši od 1.januara 2022.):</w:t>
      </w:r>
    </w:p>
    <w:p w14:paraId="21141645" w14:textId="77777777" w:rsidR="00B52467" w:rsidRPr="0086255B" w:rsidRDefault="00B52467" w:rsidP="00B52467">
      <w:pPr>
        <w:pStyle w:val="NormalKop111"/>
        <w:numPr>
          <w:ilvl w:val="0"/>
          <w:numId w:val="9"/>
        </w:numPr>
        <w:spacing w:before="120"/>
        <w:rPr>
          <w:rFonts w:asciiTheme="minorHAnsi" w:hAnsiTheme="minorHAnsi" w:cstheme="minorHAnsi"/>
          <w:sz w:val="22"/>
          <w:szCs w:val="22"/>
          <w:lang w:val="en-GB"/>
        </w:rPr>
      </w:pPr>
      <w:r w:rsidRPr="0086255B">
        <w:rPr>
          <w:rFonts w:asciiTheme="minorHAnsi" w:hAnsiTheme="minorHAnsi" w:cstheme="minorHAnsi"/>
          <w:sz w:val="22"/>
          <w:szCs w:val="22"/>
        </w:rPr>
        <w:fldChar w:fldCharType="begin">
          <w:ffData>
            <w:name w:val="Check1"/>
            <w:enabled/>
            <w:calcOnExit w:val="0"/>
            <w:checkBox>
              <w:sizeAuto/>
              <w:default w:val="0"/>
            </w:checkBox>
          </w:ffData>
        </w:fldChar>
      </w:r>
      <w:r w:rsidRPr="0086255B">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86255B">
        <w:rPr>
          <w:rFonts w:asciiTheme="minorHAnsi" w:hAnsiTheme="minorHAnsi" w:cstheme="minorHAnsi"/>
          <w:sz w:val="22"/>
          <w:szCs w:val="22"/>
        </w:rPr>
        <w:fldChar w:fldCharType="end"/>
      </w:r>
      <w:r w:rsidRPr="0086255B">
        <w:rPr>
          <w:rFonts w:asciiTheme="minorHAnsi" w:hAnsiTheme="minorHAnsi" w:cstheme="minorHAnsi"/>
          <w:sz w:val="22"/>
          <w:szCs w:val="22"/>
        </w:rPr>
        <w:t xml:space="preserve">  da</w:t>
      </w:r>
    </w:p>
    <w:p w14:paraId="1AA71BE0" w14:textId="77777777" w:rsidR="00B52467" w:rsidRPr="0086255B" w:rsidRDefault="00B52467" w:rsidP="00B52467">
      <w:pPr>
        <w:numPr>
          <w:ilvl w:val="0"/>
          <w:numId w:val="9"/>
        </w:numPr>
        <w:spacing w:before="120" w:after="120" w:line="240" w:lineRule="auto"/>
        <w:jc w:val="both"/>
        <w:rPr>
          <w:rFonts w:eastAsia="Times New Roman" w:cstheme="minorHAnsi"/>
          <w:lang w:val="hr-HR" w:eastAsia="hr-HR" w:bidi="hr-HR"/>
        </w:rPr>
      </w:pPr>
      <w:r w:rsidRPr="0086255B">
        <w:rPr>
          <w:rFonts w:eastAsia="Times New Roman" w:cstheme="minorHAnsi"/>
          <w:lang w:val="hr-HR" w:eastAsia="hr-HR" w:bidi="hr-HR"/>
        </w:rPr>
        <w:fldChar w:fldCharType="begin">
          <w:ffData>
            <w:name w:val="Check1"/>
            <w:enabled/>
            <w:calcOnExit w:val="0"/>
            <w:checkBox>
              <w:sizeAuto/>
              <w:default w:val="0"/>
            </w:checkBox>
          </w:ffData>
        </w:fldChar>
      </w:r>
      <w:r w:rsidRPr="0086255B">
        <w:rPr>
          <w:rFonts w:eastAsia="Times New Roman" w:cstheme="minorHAnsi"/>
          <w:lang w:val="hr-HR" w:eastAsia="hr-HR" w:bidi="hr-HR"/>
        </w:rPr>
        <w:instrText xml:space="preserve"> FORMCHECKBOX </w:instrText>
      </w:r>
      <w:r>
        <w:rPr>
          <w:rFonts w:eastAsia="Times New Roman" w:cstheme="minorHAnsi"/>
          <w:lang w:val="hr-HR" w:eastAsia="hr-HR" w:bidi="hr-HR"/>
        </w:rPr>
      </w:r>
      <w:r>
        <w:rPr>
          <w:rFonts w:eastAsia="Times New Roman" w:cstheme="minorHAnsi"/>
          <w:lang w:val="hr-HR" w:eastAsia="hr-HR" w:bidi="hr-HR"/>
        </w:rPr>
        <w:fldChar w:fldCharType="separate"/>
      </w:r>
      <w:r w:rsidRPr="0086255B">
        <w:rPr>
          <w:rFonts w:eastAsia="Times New Roman" w:cstheme="minorHAnsi"/>
          <w:lang w:val="hr-HR" w:eastAsia="hr-HR" w:bidi="hr-HR"/>
        </w:rPr>
        <w:fldChar w:fldCharType="end"/>
      </w:r>
      <w:r w:rsidRPr="0086255B">
        <w:rPr>
          <w:rFonts w:eastAsia="Times New Roman" w:cstheme="minorHAnsi"/>
          <w:lang w:val="hr-HR" w:eastAsia="hr-HR" w:bidi="hr-HR"/>
        </w:rPr>
        <w:t xml:space="preserve"> </w:t>
      </w:r>
      <w:r w:rsidRPr="0086255B">
        <w:rPr>
          <w:rFonts w:eastAsia="Times New Roman" w:cstheme="minorHAnsi"/>
          <w:lang w:val="hr-HR" w:eastAsia="hr-HR" w:bidi="hr-HR"/>
        </w:rPr>
        <w:tab/>
        <w:t xml:space="preserve"> ne</w:t>
      </w:r>
    </w:p>
    <w:p w14:paraId="17E52CCE" w14:textId="77777777" w:rsidR="00B52467" w:rsidRPr="0086255B" w:rsidRDefault="00B52467" w:rsidP="00B52467">
      <w:pPr>
        <w:pStyle w:val="Normal127"/>
        <w:numPr>
          <w:ilvl w:val="2"/>
          <w:numId w:val="11"/>
        </w:numPr>
        <w:spacing w:before="120"/>
        <w:rPr>
          <w:rFonts w:asciiTheme="minorHAnsi" w:eastAsia="Calibri" w:hAnsiTheme="minorHAnsi" w:cstheme="minorHAnsi"/>
          <w:sz w:val="22"/>
          <w:szCs w:val="22"/>
        </w:rPr>
      </w:pPr>
      <w:r w:rsidRPr="0086255B">
        <w:rPr>
          <w:rFonts w:asciiTheme="minorHAnsi" w:eastAsia="Calibri" w:hAnsiTheme="minorHAnsi" w:cstheme="minorHAnsi"/>
          <w:sz w:val="22"/>
          <w:szCs w:val="22"/>
        </w:rPr>
        <w:t>Navedite da li predmetna šema nešto od sljedećeg (tačka 143 RAG-a):</w:t>
      </w:r>
    </w:p>
    <w:p w14:paraId="4DF498CD" w14:textId="77777777" w:rsidR="00B52467" w:rsidRPr="0086255B" w:rsidRDefault="00B52467" w:rsidP="00B52467">
      <w:pPr>
        <w:pStyle w:val="NormalKop111"/>
        <w:tabs>
          <w:tab w:val="clear" w:pos="720"/>
          <w:tab w:val="clear" w:pos="1440"/>
          <w:tab w:val="clear" w:pos="1797"/>
        </w:tabs>
        <w:spacing w:before="120"/>
        <w:ind w:left="0"/>
        <w:rPr>
          <w:rFonts w:asciiTheme="minorHAnsi" w:eastAsia="Calibri" w:hAnsiTheme="minorHAnsi" w:cstheme="minorHAnsi"/>
          <w:sz w:val="22"/>
          <w:szCs w:val="22"/>
        </w:rPr>
      </w:pPr>
      <w:r w:rsidRPr="0086255B">
        <w:rPr>
          <w:rFonts w:asciiTheme="minorHAnsi" w:eastAsia="Calibri" w:hAnsiTheme="minorHAnsi" w:cstheme="minorHAnsi"/>
          <w:sz w:val="22"/>
          <w:szCs w:val="22"/>
        </w:rPr>
        <w:t>Šema koja sadrži nove karakteristike?</w:t>
      </w:r>
    </w:p>
    <w:p w14:paraId="3B96D2A1" w14:textId="77777777" w:rsidR="00B52467" w:rsidRPr="0086255B" w:rsidRDefault="00B52467" w:rsidP="00B52467">
      <w:pPr>
        <w:pStyle w:val="NormalKop111"/>
        <w:numPr>
          <w:ilvl w:val="0"/>
          <w:numId w:val="9"/>
        </w:numPr>
        <w:spacing w:before="120"/>
        <w:rPr>
          <w:rFonts w:asciiTheme="minorHAnsi" w:hAnsiTheme="minorHAnsi" w:cstheme="minorHAnsi"/>
          <w:sz w:val="22"/>
          <w:szCs w:val="22"/>
          <w:lang w:val="en-GB"/>
        </w:rPr>
      </w:pPr>
      <w:r w:rsidRPr="0086255B">
        <w:rPr>
          <w:rFonts w:asciiTheme="minorHAnsi" w:hAnsiTheme="minorHAnsi" w:cstheme="minorHAnsi"/>
          <w:sz w:val="22"/>
          <w:szCs w:val="22"/>
        </w:rPr>
        <w:fldChar w:fldCharType="begin">
          <w:ffData>
            <w:name w:val="Check1"/>
            <w:enabled/>
            <w:calcOnExit w:val="0"/>
            <w:checkBox>
              <w:sizeAuto/>
              <w:default w:val="0"/>
            </w:checkBox>
          </w:ffData>
        </w:fldChar>
      </w:r>
      <w:r w:rsidRPr="0086255B">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86255B">
        <w:rPr>
          <w:rFonts w:asciiTheme="minorHAnsi" w:hAnsiTheme="minorHAnsi" w:cstheme="minorHAnsi"/>
          <w:sz w:val="22"/>
          <w:szCs w:val="22"/>
        </w:rPr>
        <w:fldChar w:fldCharType="end"/>
      </w:r>
      <w:r w:rsidRPr="0086255B">
        <w:rPr>
          <w:rFonts w:asciiTheme="minorHAnsi" w:hAnsiTheme="minorHAnsi" w:cstheme="minorHAnsi"/>
          <w:sz w:val="22"/>
          <w:szCs w:val="22"/>
        </w:rPr>
        <w:t xml:space="preserve">  da</w:t>
      </w:r>
    </w:p>
    <w:p w14:paraId="241B4262" w14:textId="77777777" w:rsidR="00B52467" w:rsidRPr="0086255B" w:rsidRDefault="00B52467" w:rsidP="00B52467">
      <w:pPr>
        <w:numPr>
          <w:ilvl w:val="0"/>
          <w:numId w:val="9"/>
        </w:numPr>
        <w:spacing w:before="120" w:after="120" w:line="240" w:lineRule="auto"/>
        <w:jc w:val="both"/>
        <w:rPr>
          <w:rFonts w:eastAsia="Times New Roman" w:cstheme="minorHAnsi"/>
          <w:lang w:val="hr-HR" w:eastAsia="hr-HR" w:bidi="hr-HR"/>
        </w:rPr>
      </w:pPr>
      <w:r w:rsidRPr="0086255B">
        <w:rPr>
          <w:rFonts w:eastAsia="Times New Roman" w:cstheme="minorHAnsi"/>
          <w:lang w:val="hr-HR" w:eastAsia="hr-HR" w:bidi="hr-HR"/>
        </w:rPr>
        <w:fldChar w:fldCharType="begin">
          <w:ffData>
            <w:name w:val="Check1"/>
            <w:enabled/>
            <w:calcOnExit w:val="0"/>
            <w:checkBox>
              <w:sizeAuto/>
              <w:default w:val="0"/>
            </w:checkBox>
          </w:ffData>
        </w:fldChar>
      </w:r>
      <w:r w:rsidRPr="0086255B">
        <w:rPr>
          <w:rFonts w:eastAsia="Times New Roman" w:cstheme="minorHAnsi"/>
          <w:lang w:val="hr-HR" w:eastAsia="hr-HR" w:bidi="hr-HR"/>
        </w:rPr>
        <w:instrText xml:space="preserve"> FORMCHECKBOX </w:instrText>
      </w:r>
      <w:r>
        <w:rPr>
          <w:rFonts w:eastAsia="Times New Roman" w:cstheme="minorHAnsi"/>
          <w:lang w:val="hr-HR" w:eastAsia="hr-HR" w:bidi="hr-HR"/>
        </w:rPr>
      </w:r>
      <w:r>
        <w:rPr>
          <w:rFonts w:eastAsia="Times New Roman" w:cstheme="minorHAnsi"/>
          <w:lang w:val="hr-HR" w:eastAsia="hr-HR" w:bidi="hr-HR"/>
        </w:rPr>
        <w:fldChar w:fldCharType="separate"/>
      </w:r>
      <w:r w:rsidRPr="0086255B">
        <w:rPr>
          <w:rFonts w:eastAsia="Times New Roman" w:cstheme="minorHAnsi"/>
          <w:lang w:val="hr-HR" w:eastAsia="hr-HR" w:bidi="hr-HR"/>
        </w:rPr>
        <w:fldChar w:fldCharType="end"/>
      </w:r>
      <w:r w:rsidRPr="0086255B">
        <w:rPr>
          <w:rFonts w:eastAsia="Times New Roman" w:cstheme="minorHAnsi"/>
          <w:lang w:val="hr-HR" w:eastAsia="hr-HR" w:bidi="hr-HR"/>
        </w:rPr>
        <w:t xml:space="preserve">  </w:t>
      </w:r>
      <w:r w:rsidRPr="0086255B">
        <w:rPr>
          <w:rFonts w:eastAsia="Times New Roman" w:cstheme="minorHAnsi"/>
          <w:lang w:val="hr-HR" w:eastAsia="hr-HR" w:bidi="hr-HR"/>
        </w:rPr>
        <w:tab/>
        <w:t>ne</w:t>
      </w:r>
    </w:p>
    <w:p w14:paraId="44CE5F8D" w14:textId="77777777" w:rsidR="00B52467" w:rsidRPr="0086255B" w:rsidRDefault="00B52467" w:rsidP="00B52467">
      <w:pPr>
        <w:pStyle w:val="NormalKop111"/>
        <w:tabs>
          <w:tab w:val="clear" w:pos="720"/>
          <w:tab w:val="clear" w:pos="1440"/>
          <w:tab w:val="clear" w:pos="1797"/>
        </w:tabs>
        <w:spacing w:before="120"/>
        <w:ind w:left="0"/>
        <w:rPr>
          <w:rFonts w:asciiTheme="minorHAnsi" w:eastAsia="Calibri" w:hAnsiTheme="minorHAnsi" w:cstheme="minorHAnsi"/>
          <w:sz w:val="22"/>
          <w:szCs w:val="22"/>
        </w:rPr>
      </w:pPr>
      <w:r w:rsidRPr="0086255B">
        <w:rPr>
          <w:rFonts w:asciiTheme="minorHAnsi" w:eastAsia="Calibri" w:hAnsiTheme="minorHAnsi" w:cstheme="minorHAnsi"/>
          <w:sz w:val="22"/>
          <w:szCs w:val="22"/>
        </w:rPr>
        <w:t>Šema u kojoj se mogu predvidjeti značajne tržišne, tehnološke ili regulatorne promjene?</w:t>
      </w:r>
    </w:p>
    <w:p w14:paraId="3C3475AC" w14:textId="77777777" w:rsidR="00B52467" w:rsidRPr="0086255B" w:rsidRDefault="00B52467" w:rsidP="00B52467">
      <w:pPr>
        <w:pStyle w:val="NormalKop111"/>
        <w:numPr>
          <w:ilvl w:val="0"/>
          <w:numId w:val="9"/>
        </w:numPr>
        <w:spacing w:before="120"/>
        <w:rPr>
          <w:rFonts w:asciiTheme="minorHAnsi" w:hAnsiTheme="minorHAnsi" w:cstheme="minorHAnsi"/>
          <w:sz w:val="22"/>
          <w:szCs w:val="22"/>
          <w:lang w:val="en-GB"/>
        </w:rPr>
      </w:pPr>
      <w:r w:rsidRPr="0086255B">
        <w:rPr>
          <w:rFonts w:asciiTheme="minorHAnsi" w:hAnsiTheme="minorHAnsi" w:cstheme="minorHAnsi"/>
          <w:sz w:val="22"/>
          <w:szCs w:val="22"/>
        </w:rPr>
        <w:fldChar w:fldCharType="begin">
          <w:ffData>
            <w:name w:val="Check1"/>
            <w:enabled/>
            <w:calcOnExit w:val="0"/>
            <w:checkBox>
              <w:sizeAuto/>
              <w:default w:val="0"/>
            </w:checkBox>
          </w:ffData>
        </w:fldChar>
      </w:r>
      <w:r w:rsidRPr="0086255B">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86255B">
        <w:rPr>
          <w:rFonts w:asciiTheme="minorHAnsi" w:hAnsiTheme="minorHAnsi" w:cstheme="minorHAnsi"/>
          <w:sz w:val="22"/>
          <w:szCs w:val="22"/>
        </w:rPr>
        <w:fldChar w:fldCharType="end"/>
      </w:r>
      <w:r w:rsidRPr="0086255B">
        <w:rPr>
          <w:rFonts w:asciiTheme="minorHAnsi" w:hAnsiTheme="minorHAnsi" w:cstheme="minorHAnsi"/>
          <w:sz w:val="22"/>
          <w:szCs w:val="22"/>
        </w:rPr>
        <w:t xml:space="preserve">  da</w:t>
      </w:r>
    </w:p>
    <w:p w14:paraId="43930BF8" w14:textId="77777777" w:rsidR="00B52467" w:rsidRPr="0086255B" w:rsidRDefault="00B52467" w:rsidP="00B52467">
      <w:pPr>
        <w:numPr>
          <w:ilvl w:val="0"/>
          <w:numId w:val="9"/>
        </w:numPr>
        <w:spacing w:before="120" w:after="120" w:line="240" w:lineRule="auto"/>
        <w:jc w:val="both"/>
        <w:rPr>
          <w:rFonts w:eastAsia="Times New Roman" w:cstheme="minorHAnsi"/>
          <w:lang w:val="hr-HR" w:eastAsia="hr-HR" w:bidi="hr-HR"/>
        </w:rPr>
      </w:pPr>
      <w:r w:rsidRPr="0086255B">
        <w:rPr>
          <w:rFonts w:eastAsia="Times New Roman" w:cstheme="minorHAnsi"/>
          <w:lang w:val="hr-HR" w:eastAsia="hr-HR" w:bidi="hr-HR"/>
        </w:rPr>
        <w:fldChar w:fldCharType="begin">
          <w:ffData>
            <w:name w:val="Check1"/>
            <w:enabled/>
            <w:calcOnExit w:val="0"/>
            <w:checkBox>
              <w:sizeAuto/>
              <w:default w:val="0"/>
            </w:checkBox>
          </w:ffData>
        </w:fldChar>
      </w:r>
      <w:r w:rsidRPr="0086255B">
        <w:rPr>
          <w:rFonts w:eastAsia="Times New Roman" w:cstheme="minorHAnsi"/>
          <w:lang w:val="hr-HR" w:eastAsia="hr-HR" w:bidi="hr-HR"/>
        </w:rPr>
        <w:instrText xml:space="preserve"> FORMCHECKBOX </w:instrText>
      </w:r>
      <w:r>
        <w:rPr>
          <w:rFonts w:eastAsia="Times New Roman" w:cstheme="minorHAnsi"/>
          <w:lang w:val="hr-HR" w:eastAsia="hr-HR" w:bidi="hr-HR"/>
        </w:rPr>
      </w:r>
      <w:r>
        <w:rPr>
          <w:rFonts w:eastAsia="Times New Roman" w:cstheme="minorHAnsi"/>
          <w:lang w:val="hr-HR" w:eastAsia="hr-HR" w:bidi="hr-HR"/>
        </w:rPr>
        <w:fldChar w:fldCharType="separate"/>
      </w:r>
      <w:r w:rsidRPr="0086255B">
        <w:rPr>
          <w:rFonts w:eastAsia="Times New Roman" w:cstheme="minorHAnsi"/>
          <w:lang w:val="hr-HR" w:eastAsia="hr-HR" w:bidi="hr-HR"/>
        </w:rPr>
        <w:fldChar w:fldCharType="end"/>
      </w:r>
      <w:r w:rsidRPr="0086255B">
        <w:rPr>
          <w:rFonts w:eastAsia="Times New Roman" w:cstheme="minorHAnsi"/>
          <w:lang w:val="hr-HR" w:eastAsia="hr-HR" w:bidi="hr-HR"/>
        </w:rPr>
        <w:t xml:space="preserve">  </w:t>
      </w:r>
      <w:r w:rsidRPr="0086255B">
        <w:rPr>
          <w:rFonts w:eastAsia="Times New Roman" w:cstheme="minorHAnsi"/>
          <w:lang w:val="hr-HR" w:eastAsia="hr-HR" w:bidi="hr-HR"/>
        </w:rPr>
        <w:tab/>
        <w:t>ne</w:t>
      </w:r>
    </w:p>
    <w:p w14:paraId="7B3F03AE" w14:textId="77777777" w:rsidR="00B52467" w:rsidRPr="0086255B" w:rsidRDefault="00B52467" w:rsidP="00B52467">
      <w:pPr>
        <w:pStyle w:val="NormalKop111"/>
        <w:tabs>
          <w:tab w:val="clear" w:pos="720"/>
          <w:tab w:val="clear" w:pos="1440"/>
          <w:tab w:val="clear" w:pos="1797"/>
        </w:tabs>
        <w:spacing w:before="120"/>
        <w:ind w:left="0"/>
        <w:rPr>
          <w:rFonts w:asciiTheme="minorHAnsi" w:eastAsia="Calibri" w:hAnsiTheme="minorHAnsi" w:cstheme="minorHAnsi"/>
          <w:sz w:val="22"/>
          <w:szCs w:val="22"/>
        </w:rPr>
      </w:pPr>
      <w:r w:rsidRPr="0086255B">
        <w:rPr>
          <w:rFonts w:asciiTheme="minorHAnsi" w:eastAsia="Calibri" w:hAnsiTheme="minorHAnsi" w:cstheme="minorHAnsi"/>
          <w:sz w:val="22"/>
          <w:szCs w:val="22"/>
        </w:rPr>
        <w:t>Šema koju planirate za procjenu čak i ako ne ispunjava kriterijume navedene u tačkama 5.1.2. i 5.1.3.?</w:t>
      </w:r>
    </w:p>
    <w:bookmarkStart w:id="5" w:name="_Hlk217557647"/>
    <w:p w14:paraId="3B7D1B34" w14:textId="77777777" w:rsidR="00B52467" w:rsidRPr="0086255B" w:rsidRDefault="00B52467" w:rsidP="00B52467">
      <w:pPr>
        <w:pStyle w:val="NormalKop111"/>
        <w:numPr>
          <w:ilvl w:val="0"/>
          <w:numId w:val="9"/>
        </w:numPr>
        <w:spacing w:before="120"/>
        <w:rPr>
          <w:rFonts w:asciiTheme="minorHAnsi" w:hAnsiTheme="minorHAnsi" w:cstheme="minorHAnsi"/>
          <w:sz w:val="22"/>
          <w:szCs w:val="22"/>
          <w:lang w:val="en-GB"/>
        </w:rPr>
      </w:pPr>
      <w:r w:rsidRPr="0086255B">
        <w:rPr>
          <w:rFonts w:asciiTheme="minorHAnsi" w:hAnsiTheme="minorHAnsi" w:cstheme="minorHAnsi"/>
          <w:sz w:val="22"/>
          <w:szCs w:val="22"/>
        </w:rPr>
        <w:fldChar w:fldCharType="begin">
          <w:ffData>
            <w:name w:val="Check1"/>
            <w:enabled/>
            <w:calcOnExit w:val="0"/>
            <w:checkBox>
              <w:sizeAuto/>
              <w:default w:val="0"/>
            </w:checkBox>
          </w:ffData>
        </w:fldChar>
      </w:r>
      <w:r w:rsidRPr="0086255B">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86255B">
        <w:rPr>
          <w:rFonts w:asciiTheme="minorHAnsi" w:hAnsiTheme="minorHAnsi" w:cstheme="minorHAnsi"/>
          <w:sz w:val="22"/>
          <w:szCs w:val="22"/>
        </w:rPr>
        <w:fldChar w:fldCharType="end"/>
      </w:r>
      <w:r w:rsidRPr="0086255B">
        <w:rPr>
          <w:rFonts w:asciiTheme="minorHAnsi" w:hAnsiTheme="minorHAnsi" w:cstheme="minorHAnsi"/>
          <w:sz w:val="22"/>
          <w:szCs w:val="22"/>
        </w:rPr>
        <w:t xml:space="preserve">  da</w:t>
      </w:r>
    </w:p>
    <w:bookmarkEnd w:id="5"/>
    <w:p w14:paraId="4989706F" w14:textId="77777777" w:rsidR="00B52467" w:rsidRPr="0086255B" w:rsidRDefault="00B52467" w:rsidP="00B52467">
      <w:pPr>
        <w:numPr>
          <w:ilvl w:val="0"/>
          <w:numId w:val="9"/>
        </w:numPr>
        <w:spacing w:before="120" w:after="120" w:line="240" w:lineRule="auto"/>
        <w:jc w:val="both"/>
        <w:rPr>
          <w:rFonts w:eastAsia="Times New Roman" w:cstheme="minorHAnsi"/>
          <w:lang w:val="hr-HR" w:eastAsia="hr-HR" w:bidi="hr-HR"/>
        </w:rPr>
      </w:pPr>
      <w:r w:rsidRPr="0086255B">
        <w:rPr>
          <w:rFonts w:eastAsia="Times New Roman" w:cstheme="minorHAnsi"/>
          <w:lang w:val="hr-HR" w:eastAsia="hr-HR" w:bidi="hr-HR"/>
        </w:rPr>
        <w:fldChar w:fldCharType="begin">
          <w:ffData>
            <w:name w:val="Check1"/>
            <w:enabled/>
            <w:calcOnExit w:val="0"/>
            <w:checkBox>
              <w:sizeAuto/>
              <w:default w:val="0"/>
            </w:checkBox>
          </w:ffData>
        </w:fldChar>
      </w:r>
      <w:r w:rsidRPr="0086255B">
        <w:rPr>
          <w:rFonts w:eastAsia="Times New Roman" w:cstheme="minorHAnsi"/>
          <w:lang w:val="hr-HR" w:eastAsia="hr-HR" w:bidi="hr-HR"/>
        </w:rPr>
        <w:instrText xml:space="preserve"> FORMCHECKBOX </w:instrText>
      </w:r>
      <w:r>
        <w:rPr>
          <w:rFonts w:eastAsia="Times New Roman" w:cstheme="minorHAnsi"/>
          <w:lang w:val="hr-HR" w:eastAsia="hr-HR" w:bidi="hr-HR"/>
        </w:rPr>
      </w:r>
      <w:r>
        <w:rPr>
          <w:rFonts w:eastAsia="Times New Roman" w:cstheme="minorHAnsi"/>
          <w:lang w:val="hr-HR" w:eastAsia="hr-HR" w:bidi="hr-HR"/>
        </w:rPr>
        <w:fldChar w:fldCharType="separate"/>
      </w:r>
      <w:r w:rsidRPr="0086255B">
        <w:rPr>
          <w:rFonts w:eastAsia="Times New Roman" w:cstheme="minorHAnsi"/>
          <w:lang w:val="hr-HR" w:eastAsia="hr-HR" w:bidi="hr-HR"/>
        </w:rPr>
        <w:fldChar w:fldCharType="end"/>
      </w:r>
      <w:r w:rsidRPr="0086255B">
        <w:rPr>
          <w:rFonts w:eastAsia="Times New Roman" w:cstheme="minorHAnsi"/>
          <w:lang w:val="hr-HR" w:eastAsia="hr-HR" w:bidi="hr-HR"/>
        </w:rPr>
        <w:t xml:space="preserve"> </w:t>
      </w:r>
      <w:r w:rsidRPr="0086255B">
        <w:rPr>
          <w:rFonts w:eastAsia="Times New Roman" w:cstheme="minorHAnsi"/>
          <w:lang w:val="hr-HR" w:eastAsia="hr-HR" w:bidi="hr-HR"/>
        </w:rPr>
        <w:tab/>
        <w:t xml:space="preserve"> ne</w:t>
      </w:r>
    </w:p>
    <w:p w14:paraId="38AB244C" w14:textId="77777777" w:rsidR="00B52467" w:rsidRPr="0086255B" w:rsidRDefault="00B52467" w:rsidP="00B52467">
      <w:pPr>
        <w:spacing w:before="120" w:after="120" w:line="240" w:lineRule="auto"/>
        <w:jc w:val="both"/>
        <w:rPr>
          <w:rFonts w:eastAsia="Times New Roman" w:cstheme="minorHAnsi"/>
          <w:lang w:val="hr-HR" w:eastAsia="hr-HR" w:bidi="hr-HR"/>
        </w:rPr>
      </w:pPr>
      <w:proofErr w:type="spellStart"/>
      <w:r w:rsidRPr="0086255B">
        <w:rPr>
          <w:rFonts w:eastAsia="Calibri" w:cstheme="minorHAnsi"/>
        </w:rPr>
        <w:t>Ako</w:t>
      </w:r>
      <w:proofErr w:type="spellEnd"/>
      <w:r w:rsidRPr="0086255B">
        <w:rPr>
          <w:rFonts w:eastAsia="Calibri" w:cstheme="minorHAnsi"/>
        </w:rPr>
        <w:t xml:space="preserve"> je </w:t>
      </w:r>
      <w:proofErr w:type="spellStart"/>
      <w:r w:rsidRPr="0086255B">
        <w:rPr>
          <w:rFonts w:eastAsia="Calibri" w:cstheme="minorHAnsi"/>
        </w:rPr>
        <w:t>odgovor</w:t>
      </w:r>
      <w:proofErr w:type="spellEnd"/>
      <w:r w:rsidRPr="0086255B">
        <w:rPr>
          <w:rFonts w:eastAsia="Calibri" w:cstheme="minorHAnsi"/>
        </w:rPr>
        <w:t xml:space="preserve"> „</w:t>
      </w:r>
      <w:proofErr w:type="gramStart"/>
      <w:r w:rsidRPr="0086255B">
        <w:rPr>
          <w:rFonts w:eastAsia="Calibri" w:cstheme="minorHAnsi"/>
        </w:rPr>
        <w:t xml:space="preserve">Ne“ </w:t>
      </w:r>
      <w:proofErr w:type="spellStart"/>
      <w:r w:rsidRPr="0086255B">
        <w:rPr>
          <w:rFonts w:eastAsia="Calibri" w:cstheme="minorHAnsi"/>
        </w:rPr>
        <w:t>na</w:t>
      </w:r>
      <w:proofErr w:type="spellEnd"/>
      <w:proofErr w:type="gramEnd"/>
      <w:r w:rsidRPr="0086255B">
        <w:rPr>
          <w:rFonts w:eastAsia="Calibri" w:cstheme="minorHAnsi"/>
        </w:rPr>
        <w:t xml:space="preserve"> </w:t>
      </w:r>
      <w:proofErr w:type="spellStart"/>
      <w:r w:rsidRPr="0086255B">
        <w:rPr>
          <w:rFonts w:eastAsia="Calibri" w:cstheme="minorHAnsi"/>
        </w:rPr>
        <w:t>pitanje</w:t>
      </w:r>
      <w:proofErr w:type="spellEnd"/>
      <w:r w:rsidRPr="0086255B">
        <w:rPr>
          <w:rFonts w:eastAsia="Calibri" w:cstheme="minorHAnsi"/>
        </w:rPr>
        <w:t xml:space="preserve"> 5.1.1. i „</w:t>
      </w:r>
      <w:proofErr w:type="gramStart"/>
      <w:r w:rsidRPr="0086255B">
        <w:rPr>
          <w:rFonts w:eastAsia="Calibri" w:cstheme="minorHAnsi"/>
        </w:rPr>
        <w:t xml:space="preserve">Da“ </w:t>
      </w:r>
      <w:proofErr w:type="spellStart"/>
      <w:r w:rsidRPr="0086255B">
        <w:rPr>
          <w:rFonts w:eastAsia="Calibri" w:cstheme="minorHAnsi"/>
        </w:rPr>
        <w:t>na</w:t>
      </w:r>
      <w:proofErr w:type="spellEnd"/>
      <w:proofErr w:type="gramEnd"/>
      <w:r w:rsidRPr="0086255B">
        <w:rPr>
          <w:rFonts w:eastAsia="Calibri" w:cstheme="minorHAnsi"/>
        </w:rPr>
        <w:t xml:space="preserve"> </w:t>
      </w:r>
      <w:proofErr w:type="spellStart"/>
      <w:r w:rsidRPr="0086255B">
        <w:rPr>
          <w:rFonts w:eastAsia="Calibri" w:cstheme="minorHAnsi"/>
        </w:rPr>
        <w:t>bilo</w:t>
      </w:r>
      <w:proofErr w:type="spellEnd"/>
      <w:r w:rsidRPr="0086255B">
        <w:rPr>
          <w:rFonts w:eastAsia="Calibri" w:cstheme="minorHAnsi"/>
        </w:rPr>
        <w:t xml:space="preserve"> </w:t>
      </w:r>
      <w:proofErr w:type="spellStart"/>
      <w:r w:rsidRPr="0086255B">
        <w:rPr>
          <w:rFonts w:eastAsia="Calibri" w:cstheme="minorHAnsi"/>
        </w:rPr>
        <w:t>koje</w:t>
      </w:r>
      <w:proofErr w:type="spellEnd"/>
      <w:r w:rsidRPr="0086255B">
        <w:rPr>
          <w:rFonts w:eastAsia="Calibri" w:cstheme="minorHAnsi"/>
        </w:rPr>
        <w:t xml:space="preserve"> </w:t>
      </w:r>
      <w:proofErr w:type="spellStart"/>
      <w:r w:rsidRPr="0086255B">
        <w:rPr>
          <w:rFonts w:eastAsia="Calibri" w:cstheme="minorHAnsi"/>
        </w:rPr>
        <w:t>pitanje</w:t>
      </w:r>
      <w:proofErr w:type="spellEnd"/>
      <w:r w:rsidRPr="0086255B">
        <w:rPr>
          <w:rFonts w:eastAsia="Calibri" w:cstheme="minorHAnsi"/>
        </w:rPr>
        <w:t xml:space="preserve"> u </w:t>
      </w:r>
      <w:proofErr w:type="spellStart"/>
      <w:r w:rsidRPr="0086255B">
        <w:rPr>
          <w:rFonts w:eastAsia="Calibri" w:cstheme="minorHAnsi"/>
        </w:rPr>
        <w:t>tačkama</w:t>
      </w:r>
      <w:proofErr w:type="spellEnd"/>
      <w:r w:rsidRPr="0086255B">
        <w:rPr>
          <w:rFonts w:eastAsia="Calibri" w:cstheme="minorHAnsi"/>
        </w:rPr>
        <w:t xml:space="preserve"> 5.1.2. </w:t>
      </w:r>
      <w:proofErr w:type="spellStart"/>
      <w:r w:rsidRPr="0086255B">
        <w:rPr>
          <w:rFonts w:eastAsia="Calibri" w:cstheme="minorHAnsi"/>
        </w:rPr>
        <w:t>ili</w:t>
      </w:r>
      <w:proofErr w:type="spellEnd"/>
      <w:r w:rsidRPr="0086255B">
        <w:rPr>
          <w:rFonts w:eastAsia="Calibri" w:cstheme="minorHAnsi"/>
        </w:rPr>
        <w:t xml:space="preserve"> 5.1.3, </w:t>
      </w:r>
      <w:proofErr w:type="spellStart"/>
      <w:r w:rsidRPr="0086255B">
        <w:rPr>
          <w:rFonts w:eastAsia="Calibri" w:cstheme="minorHAnsi"/>
        </w:rPr>
        <w:t>šema</w:t>
      </w:r>
      <w:proofErr w:type="spellEnd"/>
      <w:r w:rsidRPr="0086255B">
        <w:rPr>
          <w:rFonts w:eastAsia="Calibri" w:cstheme="minorHAnsi"/>
        </w:rPr>
        <w:t xml:space="preserve"> se </w:t>
      </w:r>
      <w:proofErr w:type="spellStart"/>
      <w:r w:rsidRPr="0086255B">
        <w:rPr>
          <w:rFonts w:eastAsia="Calibri" w:cstheme="minorHAnsi"/>
        </w:rPr>
        <w:t>smatra</w:t>
      </w:r>
      <w:proofErr w:type="spellEnd"/>
      <w:r w:rsidRPr="0086255B">
        <w:rPr>
          <w:rFonts w:eastAsia="Calibri" w:cstheme="minorHAnsi"/>
        </w:rPr>
        <w:t xml:space="preserve"> za </w:t>
      </w:r>
      <w:r w:rsidRPr="0086255B">
        <w:rPr>
          <w:rFonts w:eastAsia="Calibri" w:cstheme="minorHAnsi"/>
          <w:i/>
        </w:rPr>
        <w:t>ex post</w:t>
      </w:r>
      <w:r w:rsidRPr="0086255B">
        <w:rPr>
          <w:rFonts w:eastAsia="Calibri" w:cstheme="minorHAnsi"/>
        </w:rPr>
        <w:t xml:space="preserve"> </w:t>
      </w:r>
      <w:proofErr w:type="spellStart"/>
      <w:r w:rsidRPr="0086255B">
        <w:rPr>
          <w:rFonts w:eastAsia="Calibri" w:cstheme="minorHAnsi"/>
        </w:rPr>
        <w:t>evaluaciju</w:t>
      </w:r>
      <w:proofErr w:type="spellEnd"/>
      <w:r w:rsidRPr="0086255B">
        <w:rPr>
          <w:rFonts w:eastAsia="Calibri" w:cstheme="minorHAnsi"/>
        </w:rPr>
        <w:t xml:space="preserve"> (</w:t>
      </w:r>
      <w:proofErr w:type="spellStart"/>
      <w:r w:rsidRPr="0086255B">
        <w:rPr>
          <w:rFonts w:eastAsia="Calibri" w:cstheme="minorHAnsi"/>
        </w:rPr>
        <w:t>stav</w:t>
      </w:r>
      <w:proofErr w:type="spellEnd"/>
      <w:r w:rsidRPr="0086255B">
        <w:rPr>
          <w:rFonts w:eastAsia="Calibri" w:cstheme="minorHAnsi"/>
        </w:rPr>
        <w:t xml:space="preserve"> 143 RAG-a). U tom </w:t>
      </w:r>
      <w:proofErr w:type="spellStart"/>
      <w:r w:rsidRPr="0086255B">
        <w:rPr>
          <w:rFonts w:eastAsia="Calibri" w:cstheme="minorHAnsi"/>
        </w:rPr>
        <w:t>slučaju</w:t>
      </w:r>
      <w:proofErr w:type="spellEnd"/>
      <w:r w:rsidRPr="0086255B">
        <w:rPr>
          <w:rFonts w:eastAsia="Calibri" w:cstheme="minorHAnsi"/>
        </w:rPr>
        <w:t xml:space="preserve">, </w:t>
      </w:r>
      <w:proofErr w:type="spellStart"/>
      <w:r w:rsidRPr="0086255B">
        <w:rPr>
          <w:rFonts w:eastAsia="Calibri" w:cstheme="minorHAnsi"/>
        </w:rPr>
        <w:t>odgovorite</w:t>
      </w:r>
      <w:proofErr w:type="spellEnd"/>
      <w:r w:rsidRPr="0086255B">
        <w:rPr>
          <w:rFonts w:eastAsia="Calibri" w:cstheme="minorHAnsi"/>
        </w:rPr>
        <w:t xml:space="preserve"> „</w:t>
      </w:r>
      <w:proofErr w:type="gramStart"/>
      <w:r w:rsidRPr="0086255B">
        <w:rPr>
          <w:rFonts w:eastAsia="Calibri" w:cstheme="minorHAnsi"/>
        </w:rPr>
        <w:t xml:space="preserve">Da“ </w:t>
      </w:r>
      <w:proofErr w:type="spellStart"/>
      <w:r w:rsidRPr="0086255B">
        <w:rPr>
          <w:rFonts w:eastAsia="Calibri" w:cstheme="minorHAnsi"/>
        </w:rPr>
        <w:t>na</w:t>
      </w:r>
      <w:proofErr w:type="spellEnd"/>
      <w:proofErr w:type="gramEnd"/>
      <w:r w:rsidRPr="0086255B">
        <w:rPr>
          <w:rFonts w:eastAsia="Calibri" w:cstheme="minorHAnsi"/>
        </w:rPr>
        <w:t xml:space="preserve"> </w:t>
      </w:r>
      <w:proofErr w:type="spellStart"/>
      <w:r w:rsidRPr="0086255B">
        <w:rPr>
          <w:rFonts w:eastAsia="Calibri" w:cstheme="minorHAnsi"/>
        </w:rPr>
        <w:t>odgovarajuće</w:t>
      </w:r>
      <w:proofErr w:type="spellEnd"/>
      <w:r w:rsidRPr="0086255B">
        <w:rPr>
          <w:rFonts w:eastAsia="Calibri" w:cstheme="minorHAnsi"/>
        </w:rPr>
        <w:t xml:space="preserve"> </w:t>
      </w:r>
      <w:proofErr w:type="spellStart"/>
      <w:r w:rsidRPr="0086255B">
        <w:rPr>
          <w:rFonts w:eastAsia="Calibri" w:cstheme="minorHAnsi"/>
        </w:rPr>
        <w:t>pitanje</w:t>
      </w:r>
      <w:proofErr w:type="spellEnd"/>
      <w:r w:rsidRPr="0086255B">
        <w:rPr>
          <w:rFonts w:eastAsia="Calibri" w:cstheme="minorHAnsi"/>
        </w:rPr>
        <w:t xml:space="preserve"> u </w:t>
      </w:r>
      <w:proofErr w:type="spellStart"/>
      <w:r w:rsidRPr="0086255B">
        <w:rPr>
          <w:rFonts w:eastAsia="Calibri" w:cstheme="minorHAnsi"/>
        </w:rPr>
        <w:t>obrascu</w:t>
      </w:r>
      <w:proofErr w:type="spellEnd"/>
      <w:r w:rsidRPr="0086255B">
        <w:rPr>
          <w:rFonts w:eastAsia="Calibri" w:cstheme="minorHAnsi"/>
        </w:rPr>
        <w:t xml:space="preserve"> </w:t>
      </w:r>
      <w:proofErr w:type="spellStart"/>
      <w:r w:rsidRPr="0086255B">
        <w:rPr>
          <w:rFonts w:eastAsia="Calibri" w:cstheme="minorHAnsi"/>
        </w:rPr>
        <w:t>sa</w:t>
      </w:r>
      <w:proofErr w:type="spellEnd"/>
      <w:r w:rsidRPr="0086255B">
        <w:rPr>
          <w:rFonts w:eastAsia="Calibri" w:cstheme="minorHAnsi"/>
        </w:rPr>
        <w:t xml:space="preserve"> </w:t>
      </w:r>
      <w:proofErr w:type="spellStart"/>
      <w:r w:rsidRPr="0086255B">
        <w:rPr>
          <w:rFonts w:eastAsia="Calibri" w:cstheme="minorHAnsi"/>
        </w:rPr>
        <w:t>opštim</w:t>
      </w:r>
      <w:proofErr w:type="spellEnd"/>
      <w:r w:rsidRPr="0086255B">
        <w:rPr>
          <w:rFonts w:eastAsia="Calibri" w:cstheme="minorHAnsi"/>
        </w:rPr>
        <w:t xml:space="preserve"> </w:t>
      </w:r>
      <w:proofErr w:type="spellStart"/>
      <w:r w:rsidRPr="0086255B">
        <w:rPr>
          <w:rFonts w:eastAsia="Calibri" w:cstheme="minorHAnsi"/>
        </w:rPr>
        <w:t>informacijama</w:t>
      </w:r>
      <w:proofErr w:type="spellEnd"/>
      <w:r w:rsidRPr="0086255B">
        <w:rPr>
          <w:rFonts w:eastAsia="Calibri" w:cstheme="minorHAnsi"/>
        </w:rPr>
        <w:t xml:space="preserve">, </w:t>
      </w:r>
      <w:proofErr w:type="spellStart"/>
      <w:r w:rsidRPr="0086255B">
        <w:rPr>
          <w:rFonts w:eastAsia="Calibri" w:cstheme="minorHAnsi"/>
        </w:rPr>
        <w:t>navedite</w:t>
      </w:r>
      <w:proofErr w:type="spellEnd"/>
      <w:r w:rsidRPr="0086255B">
        <w:rPr>
          <w:rFonts w:eastAsia="Calibri" w:cstheme="minorHAnsi"/>
        </w:rPr>
        <w:t xml:space="preserve"> period </w:t>
      </w:r>
      <w:proofErr w:type="spellStart"/>
      <w:r w:rsidRPr="0086255B">
        <w:rPr>
          <w:rFonts w:eastAsia="Calibri" w:cstheme="minorHAnsi"/>
        </w:rPr>
        <w:t>evaluacije</w:t>
      </w:r>
      <w:proofErr w:type="spellEnd"/>
      <w:r w:rsidRPr="0086255B">
        <w:rPr>
          <w:rFonts w:eastAsia="Calibri" w:cstheme="minorHAnsi"/>
        </w:rPr>
        <w:t xml:space="preserve"> i </w:t>
      </w:r>
      <w:proofErr w:type="spellStart"/>
      <w:r w:rsidRPr="0086255B">
        <w:rPr>
          <w:rFonts w:eastAsia="Calibri" w:cstheme="minorHAnsi"/>
        </w:rPr>
        <w:t>dostavite</w:t>
      </w:r>
      <w:proofErr w:type="spellEnd"/>
      <w:r w:rsidRPr="0086255B">
        <w:rPr>
          <w:rFonts w:eastAsia="Calibri" w:cstheme="minorHAnsi"/>
        </w:rPr>
        <w:t xml:space="preserve"> </w:t>
      </w:r>
      <w:proofErr w:type="spellStart"/>
      <w:r w:rsidRPr="0086255B">
        <w:rPr>
          <w:rFonts w:eastAsia="Calibri" w:cstheme="minorHAnsi"/>
        </w:rPr>
        <w:t>nacrt</w:t>
      </w:r>
      <w:proofErr w:type="spellEnd"/>
      <w:r w:rsidRPr="0086255B">
        <w:rPr>
          <w:rFonts w:eastAsia="Calibri" w:cstheme="minorHAnsi"/>
        </w:rPr>
        <w:t xml:space="preserve"> plana </w:t>
      </w:r>
      <w:proofErr w:type="spellStart"/>
      <w:r w:rsidRPr="0086255B">
        <w:rPr>
          <w:rFonts w:eastAsia="Calibri" w:cstheme="minorHAnsi"/>
        </w:rPr>
        <w:t>evaluacije</w:t>
      </w:r>
      <w:proofErr w:type="spellEnd"/>
      <w:r w:rsidRPr="0086255B">
        <w:rPr>
          <w:rFonts w:eastAsia="Calibri" w:cstheme="minorHAnsi"/>
        </w:rPr>
        <w:t xml:space="preserve"> u </w:t>
      </w:r>
      <w:proofErr w:type="spellStart"/>
      <w:r w:rsidRPr="0086255B">
        <w:rPr>
          <w:rFonts w:eastAsia="Calibri" w:cstheme="minorHAnsi"/>
        </w:rPr>
        <w:t>Prilogu</w:t>
      </w:r>
      <w:proofErr w:type="spellEnd"/>
      <w:r w:rsidRPr="0086255B">
        <w:rPr>
          <w:rFonts w:eastAsia="Calibri" w:cstheme="minorHAnsi"/>
        </w:rPr>
        <w:t xml:space="preserve"> I - </w:t>
      </w:r>
      <w:proofErr w:type="spellStart"/>
      <w:r w:rsidRPr="0086255B">
        <w:rPr>
          <w:rFonts w:eastAsia="Calibri" w:cstheme="minorHAnsi"/>
        </w:rPr>
        <w:t>Dio</w:t>
      </w:r>
      <w:proofErr w:type="spellEnd"/>
      <w:r w:rsidRPr="0086255B">
        <w:rPr>
          <w:rFonts w:eastAsia="Calibri" w:cstheme="minorHAnsi"/>
        </w:rPr>
        <w:t xml:space="preserve"> III.8.</w:t>
      </w:r>
      <w:r w:rsidRPr="0086255B">
        <w:rPr>
          <w:rStyle w:val="FootnoteReference"/>
          <w:rFonts w:eastAsia="Calibri" w:cstheme="minorHAnsi"/>
        </w:rPr>
        <w:footnoteReference w:id="28"/>
      </w:r>
    </w:p>
    <w:p w14:paraId="189C4683" w14:textId="77777777" w:rsidR="00B52467" w:rsidRPr="0086255B" w:rsidRDefault="00B52467" w:rsidP="00B52467">
      <w:pPr>
        <w:pStyle w:val="Normal127"/>
        <w:numPr>
          <w:ilvl w:val="1"/>
          <w:numId w:val="11"/>
        </w:numPr>
        <w:tabs>
          <w:tab w:val="clear" w:pos="720"/>
          <w:tab w:val="clear" w:pos="1440"/>
          <w:tab w:val="clear" w:pos="1797"/>
        </w:tabs>
        <w:spacing w:before="120"/>
        <w:rPr>
          <w:rFonts w:asciiTheme="minorHAnsi" w:eastAsia="Calibri" w:hAnsiTheme="minorHAnsi" w:cstheme="minorHAnsi"/>
          <w:b/>
          <w:sz w:val="22"/>
          <w:szCs w:val="22"/>
        </w:rPr>
      </w:pPr>
      <w:r w:rsidRPr="0086255B">
        <w:rPr>
          <w:rFonts w:asciiTheme="minorHAnsi" w:eastAsia="Calibri" w:hAnsiTheme="minorHAnsi" w:cstheme="minorHAnsi"/>
          <w:b/>
          <w:sz w:val="22"/>
          <w:szCs w:val="22"/>
        </w:rPr>
        <w:t>Izvještavanje i praćenje</w:t>
      </w:r>
    </w:p>
    <w:p w14:paraId="3E49CD55" w14:textId="77777777" w:rsidR="00B52467" w:rsidRPr="0086255B" w:rsidRDefault="00B52467" w:rsidP="00B52467">
      <w:pPr>
        <w:pStyle w:val="Normal127"/>
        <w:numPr>
          <w:ilvl w:val="2"/>
          <w:numId w:val="11"/>
        </w:numPr>
        <w:tabs>
          <w:tab w:val="clear" w:pos="720"/>
          <w:tab w:val="clear" w:pos="1440"/>
          <w:tab w:val="clear" w:pos="1797"/>
        </w:tabs>
        <w:spacing w:before="120"/>
        <w:ind w:left="360" w:hanging="360"/>
        <w:rPr>
          <w:rFonts w:asciiTheme="minorHAnsi" w:eastAsia="Calibri" w:hAnsiTheme="minorHAnsi" w:cstheme="minorHAnsi"/>
          <w:b/>
          <w:sz w:val="22"/>
          <w:szCs w:val="22"/>
        </w:rPr>
      </w:pPr>
      <w:r w:rsidRPr="0086255B">
        <w:rPr>
          <w:rFonts w:asciiTheme="minorHAnsi" w:eastAsia="Calibri" w:hAnsiTheme="minorHAnsi" w:cstheme="minorHAnsi"/>
          <w:sz w:val="22"/>
          <w:szCs w:val="22"/>
        </w:rPr>
        <w:t>Potvrdite da ćete:</w:t>
      </w:r>
    </w:p>
    <w:p w14:paraId="30570322" w14:textId="77777777" w:rsidR="00B52467" w:rsidRPr="0086255B" w:rsidRDefault="00B52467" w:rsidP="00B52467">
      <w:pPr>
        <w:pStyle w:val="NormalKop111"/>
        <w:numPr>
          <w:ilvl w:val="0"/>
          <w:numId w:val="9"/>
        </w:numPr>
        <w:tabs>
          <w:tab w:val="clear" w:pos="720"/>
          <w:tab w:val="clear" w:pos="1440"/>
          <w:tab w:val="clear" w:pos="1797"/>
        </w:tabs>
        <w:spacing w:before="120"/>
        <w:rPr>
          <w:rFonts w:asciiTheme="minorHAnsi" w:eastAsia="Calibri" w:hAnsiTheme="minorHAnsi" w:cstheme="minorHAnsi"/>
          <w:b/>
          <w:sz w:val="22"/>
          <w:szCs w:val="22"/>
        </w:rPr>
      </w:pPr>
      <w:r w:rsidRPr="0086255B">
        <w:rPr>
          <w:rFonts w:asciiTheme="minorHAnsi" w:eastAsia="Calibri" w:hAnsiTheme="minorHAnsi" w:cstheme="minorHAnsi"/>
          <w:sz w:val="22"/>
          <w:szCs w:val="22"/>
        </w:rPr>
        <w:t>Komisiji podnositi godišnje izvještaje u skladu sa Regulativom (EU) 2015/1589 i Regulativom (EZ) br. 794/2004 i</w:t>
      </w:r>
    </w:p>
    <w:p w14:paraId="151FED3F" w14:textId="77777777" w:rsidR="00B52467" w:rsidRPr="0086255B" w:rsidRDefault="00B52467" w:rsidP="00B52467">
      <w:pPr>
        <w:pStyle w:val="NormalKop111"/>
        <w:spacing w:before="120"/>
        <w:rPr>
          <w:rFonts w:asciiTheme="minorHAnsi" w:hAnsiTheme="minorHAnsi" w:cstheme="minorHAnsi"/>
          <w:sz w:val="22"/>
          <w:szCs w:val="22"/>
        </w:rPr>
      </w:pPr>
      <w:r w:rsidRPr="0086255B">
        <w:rPr>
          <w:rFonts w:asciiTheme="minorHAnsi" w:hAnsiTheme="minorHAnsi" w:cstheme="minorHAnsi"/>
          <w:sz w:val="22"/>
          <w:szCs w:val="22"/>
        </w:rPr>
        <w:tab/>
      </w:r>
      <w:r w:rsidRPr="0086255B">
        <w:rPr>
          <w:rFonts w:asciiTheme="minorHAnsi" w:hAnsiTheme="minorHAnsi" w:cstheme="minorHAnsi"/>
          <w:sz w:val="22"/>
          <w:szCs w:val="22"/>
        </w:rPr>
        <w:fldChar w:fldCharType="begin">
          <w:ffData>
            <w:name w:val="Check1"/>
            <w:enabled/>
            <w:calcOnExit w:val="0"/>
            <w:checkBox>
              <w:sizeAuto/>
              <w:default w:val="0"/>
            </w:checkBox>
          </w:ffData>
        </w:fldChar>
      </w:r>
      <w:r w:rsidRPr="0086255B">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86255B">
        <w:rPr>
          <w:rFonts w:asciiTheme="minorHAnsi" w:hAnsiTheme="minorHAnsi" w:cstheme="minorHAnsi"/>
          <w:sz w:val="22"/>
          <w:szCs w:val="22"/>
        </w:rPr>
        <w:fldChar w:fldCharType="end"/>
      </w:r>
      <w:r w:rsidRPr="0086255B">
        <w:rPr>
          <w:rFonts w:asciiTheme="minorHAnsi" w:hAnsiTheme="minorHAnsi" w:cstheme="minorHAnsi"/>
          <w:sz w:val="22"/>
          <w:szCs w:val="22"/>
        </w:rPr>
        <w:t xml:space="preserve">  da</w:t>
      </w:r>
    </w:p>
    <w:p w14:paraId="04DD3EB7" w14:textId="77777777" w:rsidR="00B52467" w:rsidRPr="0086255B" w:rsidRDefault="00B52467" w:rsidP="00B52467">
      <w:pPr>
        <w:pStyle w:val="NormalKop111"/>
        <w:numPr>
          <w:ilvl w:val="0"/>
          <w:numId w:val="9"/>
        </w:numPr>
        <w:tabs>
          <w:tab w:val="clear" w:pos="720"/>
          <w:tab w:val="clear" w:pos="1440"/>
          <w:tab w:val="clear" w:pos="1797"/>
        </w:tabs>
        <w:spacing w:before="120"/>
        <w:rPr>
          <w:rFonts w:asciiTheme="minorHAnsi" w:eastAsia="Calibri" w:hAnsiTheme="minorHAnsi" w:cstheme="minorHAnsi"/>
          <w:sz w:val="22"/>
          <w:szCs w:val="22"/>
        </w:rPr>
      </w:pPr>
      <w:r w:rsidRPr="0086255B">
        <w:rPr>
          <w:rFonts w:asciiTheme="minorHAnsi" w:eastAsia="Calibri" w:hAnsiTheme="minorHAnsi" w:cstheme="minorHAnsi"/>
          <w:sz w:val="22"/>
          <w:szCs w:val="22"/>
        </w:rPr>
        <w:lastRenderedPageBreak/>
        <w:t>čuvati najmanje 10 godina od datuma dodjele bilo kakve pomoći u okviru šeme detaljne evidencije koje sadrže informacije i prateću dokumentaciju potrebnu za utvrđivanje da su ispunjeni svi uslovi usklađenosti i da će te evidencije biti dostavljene Komisiji na zahtjev.</w:t>
      </w:r>
    </w:p>
    <w:p w14:paraId="36BBA821" w14:textId="77777777" w:rsidR="00B52467" w:rsidRPr="0086255B" w:rsidRDefault="00B52467" w:rsidP="00B52467">
      <w:pPr>
        <w:pStyle w:val="NormalKop111"/>
        <w:tabs>
          <w:tab w:val="clear" w:pos="720"/>
          <w:tab w:val="clear" w:pos="1440"/>
          <w:tab w:val="clear" w:pos="1797"/>
        </w:tabs>
        <w:spacing w:before="120"/>
        <w:ind w:left="1080" w:firstLine="360"/>
        <w:rPr>
          <w:rFonts w:asciiTheme="minorHAnsi" w:eastAsia="Calibri" w:hAnsiTheme="minorHAnsi" w:cstheme="minorHAnsi"/>
          <w:sz w:val="22"/>
          <w:szCs w:val="22"/>
        </w:rPr>
      </w:pPr>
      <w:r w:rsidRPr="0086255B">
        <w:rPr>
          <w:rFonts w:asciiTheme="minorHAnsi" w:hAnsiTheme="minorHAnsi" w:cstheme="minorHAnsi"/>
          <w:sz w:val="22"/>
          <w:szCs w:val="22"/>
        </w:rPr>
        <w:fldChar w:fldCharType="begin">
          <w:ffData>
            <w:name w:val="Check1"/>
            <w:enabled/>
            <w:calcOnExit w:val="0"/>
            <w:checkBox>
              <w:sizeAuto/>
              <w:default w:val="0"/>
            </w:checkBox>
          </w:ffData>
        </w:fldChar>
      </w:r>
      <w:r w:rsidRPr="0086255B">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86255B">
        <w:rPr>
          <w:rFonts w:asciiTheme="minorHAnsi" w:hAnsiTheme="minorHAnsi" w:cstheme="minorHAnsi"/>
          <w:sz w:val="22"/>
          <w:szCs w:val="22"/>
        </w:rPr>
        <w:fldChar w:fldCharType="end"/>
      </w:r>
      <w:r w:rsidRPr="0086255B">
        <w:rPr>
          <w:rFonts w:asciiTheme="minorHAnsi" w:hAnsiTheme="minorHAnsi" w:cstheme="minorHAnsi"/>
          <w:sz w:val="22"/>
          <w:szCs w:val="22"/>
        </w:rPr>
        <w:t xml:space="preserve">  da</w:t>
      </w:r>
    </w:p>
    <w:p w14:paraId="582DD5ED" w14:textId="77777777" w:rsidR="00B52467" w:rsidRPr="0086255B" w:rsidRDefault="00B52467" w:rsidP="00B52467">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7174BA10" w14:textId="77777777" w:rsidR="00B52467" w:rsidRPr="0086255B" w:rsidRDefault="00B52467" w:rsidP="00B52467">
      <w:pPr>
        <w:tabs>
          <w:tab w:val="left" w:leader="dot" w:pos="9072"/>
        </w:tabs>
        <w:spacing w:before="120" w:after="120"/>
        <w:jc w:val="both"/>
        <w:rPr>
          <w:rFonts w:cstheme="minorHAnsi"/>
          <w:lang w:val="hr-HR" w:eastAsia="hr-HR" w:bidi="hr-HR"/>
        </w:rPr>
      </w:pPr>
    </w:p>
    <w:p w14:paraId="2612F744" w14:textId="77777777" w:rsidR="00B52467" w:rsidRPr="0086255B" w:rsidRDefault="00B52467" w:rsidP="00B52467">
      <w:pPr>
        <w:tabs>
          <w:tab w:val="left" w:leader="dot" w:pos="9072"/>
        </w:tabs>
        <w:spacing w:before="120" w:after="120"/>
        <w:jc w:val="both"/>
        <w:rPr>
          <w:rFonts w:cstheme="minorHAnsi"/>
          <w:lang w:val="hr-HR" w:eastAsia="hr-HR" w:bidi="hr-HR"/>
        </w:rPr>
      </w:pPr>
    </w:p>
    <w:p w14:paraId="40A4C47E" w14:textId="77777777" w:rsidR="00B52467" w:rsidRPr="0086255B" w:rsidRDefault="00B52467" w:rsidP="00B52467">
      <w:pPr>
        <w:tabs>
          <w:tab w:val="left" w:leader="dot" w:pos="9072"/>
        </w:tabs>
        <w:spacing w:before="120" w:after="120"/>
        <w:jc w:val="both"/>
        <w:rPr>
          <w:rFonts w:cstheme="minorHAnsi"/>
          <w:lang w:val="hr-HR" w:eastAsia="hr-HR" w:bidi="hr-HR"/>
        </w:rPr>
      </w:pPr>
    </w:p>
    <w:p w14:paraId="0C12F8FB" w14:textId="77777777" w:rsidR="00B52467" w:rsidRPr="0086255B" w:rsidRDefault="00B52467" w:rsidP="00B52467">
      <w:pPr>
        <w:tabs>
          <w:tab w:val="left" w:leader="dot" w:pos="9072"/>
        </w:tabs>
        <w:spacing w:before="120" w:after="120"/>
        <w:jc w:val="both"/>
        <w:rPr>
          <w:rFonts w:cstheme="minorHAnsi"/>
          <w:lang w:val="hr-HR" w:eastAsia="hr-HR" w:bidi="hr-HR"/>
        </w:rPr>
      </w:pPr>
    </w:p>
    <w:p w14:paraId="4EE67B8A" w14:textId="77777777" w:rsidR="00B52467" w:rsidRPr="0086255B" w:rsidRDefault="00B52467" w:rsidP="00B52467">
      <w:pPr>
        <w:tabs>
          <w:tab w:val="left" w:leader="dot" w:pos="9072"/>
        </w:tabs>
        <w:spacing w:before="120" w:after="120"/>
        <w:jc w:val="both"/>
        <w:rPr>
          <w:rFonts w:cstheme="minorHAnsi"/>
          <w:lang w:val="hr-HR" w:eastAsia="hr-HR" w:bidi="hr-HR"/>
        </w:rPr>
      </w:pPr>
    </w:p>
    <w:p w14:paraId="7B1E4C79" w14:textId="77777777" w:rsidR="00B52467" w:rsidRPr="0086255B" w:rsidRDefault="00B52467" w:rsidP="00B52467">
      <w:pPr>
        <w:tabs>
          <w:tab w:val="left" w:leader="dot" w:pos="9072"/>
        </w:tabs>
        <w:spacing w:before="120" w:after="120"/>
        <w:jc w:val="both"/>
        <w:rPr>
          <w:rFonts w:cstheme="minorHAnsi"/>
          <w:lang w:val="hr-HR" w:eastAsia="hr-HR" w:bidi="hr-HR"/>
        </w:rPr>
      </w:pPr>
    </w:p>
    <w:p w14:paraId="5468BB03" w14:textId="77777777" w:rsidR="00B52467" w:rsidRPr="0086255B" w:rsidRDefault="00B52467" w:rsidP="00B52467">
      <w:pPr>
        <w:tabs>
          <w:tab w:val="left" w:leader="dot" w:pos="9072"/>
        </w:tabs>
        <w:spacing w:before="120" w:after="120"/>
        <w:jc w:val="both"/>
        <w:rPr>
          <w:rFonts w:cstheme="minorHAnsi"/>
          <w:lang w:val="hr-HR" w:eastAsia="hr-HR" w:bidi="hr-HR"/>
        </w:rPr>
      </w:pPr>
    </w:p>
    <w:p w14:paraId="50DB4213" w14:textId="77777777" w:rsidR="00B52467" w:rsidRPr="0086255B" w:rsidRDefault="00B52467" w:rsidP="00B52467">
      <w:pPr>
        <w:tabs>
          <w:tab w:val="left" w:leader="dot" w:pos="9072"/>
        </w:tabs>
        <w:spacing w:before="120" w:after="120"/>
        <w:jc w:val="both"/>
        <w:rPr>
          <w:rFonts w:cstheme="minorHAnsi"/>
          <w:lang w:val="hr-HR" w:eastAsia="hr-HR" w:bidi="hr-HR"/>
        </w:rPr>
      </w:pPr>
    </w:p>
    <w:p w14:paraId="0682A088" w14:textId="77777777" w:rsidR="00B52467" w:rsidRPr="0086255B" w:rsidRDefault="00B52467" w:rsidP="00B52467">
      <w:pPr>
        <w:tabs>
          <w:tab w:val="left" w:leader="dot" w:pos="9072"/>
        </w:tabs>
        <w:spacing w:before="120" w:after="120"/>
        <w:jc w:val="both"/>
        <w:rPr>
          <w:rFonts w:cstheme="minorHAnsi"/>
          <w:lang w:val="hr-HR" w:eastAsia="hr-HR" w:bidi="hr-HR"/>
        </w:rPr>
      </w:pPr>
    </w:p>
    <w:p w14:paraId="5C553BC6" w14:textId="77777777" w:rsidR="00B52467" w:rsidRPr="0086255B" w:rsidRDefault="00B52467" w:rsidP="00B52467">
      <w:pPr>
        <w:tabs>
          <w:tab w:val="left" w:leader="dot" w:pos="9072"/>
        </w:tabs>
        <w:spacing w:before="120" w:after="120"/>
        <w:jc w:val="both"/>
        <w:rPr>
          <w:rFonts w:cstheme="minorHAnsi"/>
          <w:lang w:val="hr-HR" w:eastAsia="hr-HR" w:bidi="hr-HR"/>
        </w:rPr>
      </w:pPr>
    </w:p>
    <w:p w14:paraId="4CE307E0" w14:textId="77777777" w:rsidR="00B52467" w:rsidRPr="0086255B" w:rsidRDefault="00B52467" w:rsidP="00B52467">
      <w:pPr>
        <w:tabs>
          <w:tab w:val="left" w:leader="dot" w:pos="9072"/>
        </w:tabs>
        <w:spacing w:before="120" w:after="120"/>
        <w:jc w:val="both"/>
        <w:rPr>
          <w:rFonts w:cstheme="minorHAnsi"/>
          <w:lang w:val="hr-HR" w:eastAsia="hr-HR" w:bidi="hr-HR"/>
        </w:rPr>
      </w:pPr>
    </w:p>
    <w:p w14:paraId="3CB1FA43" w14:textId="77777777" w:rsidR="00B52467" w:rsidRPr="0086255B" w:rsidRDefault="00B52467" w:rsidP="00B52467">
      <w:pPr>
        <w:tabs>
          <w:tab w:val="left" w:leader="dot" w:pos="9072"/>
        </w:tabs>
        <w:spacing w:before="120" w:after="120"/>
        <w:jc w:val="both"/>
        <w:rPr>
          <w:rFonts w:cstheme="minorHAnsi"/>
          <w:lang w:val="hr-HR" w:eastAsia="hr-HR" w:bidi="hr-HR"/>
        </w:rPr>
      </w:pPr>
    </w:p>
    <w:p w14:paraId="12DAA6AC" w14:textId="77777777" w:rsidR="00B52467" w:rsidRPr="0086255B" w:rsidRDefault="00B52467" w:rsidP="00B52467">
      <w:pPr>
        <w:tabs>
          <w:tab w:val="left" w:leader="dot" w:pos="9072"/>
        </w:tabs>
        <w:spacing w:before="120" w:after="120"/>
        <w:jc w:val="both"/>
        <w:rPr>
          <w:rFonts w:cstheme="minorHAnsi"/>
          <w:lang w:val="hr-HR" w:eastAsia="hr-HR" w:bidi="hr-HR"/>
        </w:rPr>
      </w:pPr>
    </w:p>
    <w:p w14:paraId="6938CF27" w14:textId="77777777" w:rsidR="00B52467" w:rsidRPr="0086255B" w:rsidRDefault="00B52467" w:rsidP="00B52467">
      <w:pPr>
        <w:tabs>
          <w:tab w:val="left" w:leader="dot" w:pos="9072"/>
        </w:tabs>
        <w:spacing w:before="120" w:after="120"/>
        <w:jc w:val="both"/>
        <w:rPr>
          <w:rFonts w:cstheme="minorHAnsi"/>
          <w:lang w:val="hr-HR" w:eastAsia="hr-HR" w:bidi="hr-HR"/>
        </w:rPr>
      </w:pPr>
    </w:p>
    <w:p w14:paraId="436FEDA0" w14:textId="77777777" w:rsidR="00B52467" w:rsidRPr="0086255B" w:rsidRDefault="00B52467" w:rsidP="00B52467">
      <w:pPr>
        <w:tabs>
          <w:tab w:val="left" w:leader="dot" w:pos="9072"/>
        </w:tabs>
        <w:spacing w:before="120" w:after="120"/>
        <w:jc w:val="both"/>
        <w:rPr>
          <w:rFonts w:cstheme="minorHAnsi"/>
          <w:lang w:val="hr-HR" w:eastAsia="hr-HR" w:bidi="hr-HR"/>
        </w:rPr>
      </w:pPr>
    </w:p>
    <w:p w14:paraId="37FBE087" w14:textId="77777777" w:rsidR="00B52467" w:rsidRPr="0086255B" w:rsidRDefault="00B52467" w:rsidP="00B52467">
      <w:pPr>
        <w:tabs>
          <w:tab w:val="left" w:leader="dot" w:pos="9072"/>
        </w:tabs>
        <w:spacing w:before="120" w:after="120"/>
        <w:jc w:val="both"/>
        <w:rPr>
          <w:rFonts w:cstheme="minorHAnsi"/>
          <w:lang w:val="hr-HR" w:eastAsia="hr-HR" w:bidi="hr-HR"/>
        </w:rPr>
      </w:pPr>
    </w:p>
    <w:p w14:paraId="54E166DF" w14:textId="77777777" w:rsidR="00B52467" w:rsidRPr="0086255B" w:rsidRDefault="00B52467" w:rsidP="00B52467">
      <w:pPr>
        <w:tabs>
          <w:tab w:val="left" w:leader="dot" w:pos="9072"/>
        </w:tabs>
        <w:spacing w:before="120" w:after="120"/>
        <w:jc w:val="both"/>
        <w:rPr>
          <w:rFonts w:cstheme="minorHAnsi"/>
          <w:lang w:val="hr-HR" w:eastAsia="hr-HR" w:bidi="hr-HR"/>
        </w:rPr>
      </w:pPr>
    </w:p>
    <w:p w14:paraId="66344BF5" w14:textId="77777777" w:rsidR="00B52467" w:rsidRPr="0086255B" w:rsidRDefault="00B52467" w:rsidP="00B52467">
      <w:pPr>
        <w:tabs>
          <w:tab w:val="left" w:leader="dot" w:pos="9072"/>
        </w:tabs>
        <w:spacing w:before="120" w:after="120"/>
        <w:jc w:val="both"/>
        <w:rPr>
          <w:rFonts w:cstheme="minorHAnsi"/>
          <w:lang w:val="hr-HR" w:eastAsia="hr-HR" w:bidi="hr-HR"/>
        </w:rPr>
      </w:pPr>
    </w:p>
    <w:p w14:paraId="7F52D2C3" w14:textId="77777777" w:rsidR="00B52467" w:rsidRPr="0086255B" w:rsidRDefault="00B52467" w:rsidP="00B52467">
      <w:pPr>
        <w:tabs>
          <w:tab w:val="left" w:leader="dot" w:pos="9072"/>
        </w:tabs>
        <w:spacing w:before="120" w:after="120"/>
        <w:jc w:val="both"/>
        <w:rPr>
          <w:rFonts w:cstheme="minorHAnsi"/>
          <w:lang w:val="hr-HR" w:eastAsia="hr-HR" w:bidi="hr-HR"/>
        </w:rPr>
      </w:pPr>
    </w:p>
    <w:p w14:paraId="201C56D4" w14:textId="77777777" w:rsidR="001E27D7" w:rsidRDefault="001E27D7">
      <w:bookmarkStart w:id="6" w:name="_GoBack"/>
      <w:bookmarkEnd w:id="6"/>
    </w:p>
    <w:sectPr w:rsidR="001E27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5F1F25" w14:textId="77777777" w:rsidR="008E39B9" w:rsidRDefault="008E39B9" w:rsidP="00B52467">
      <w:pPr>
        <w:spacing w:after="0" w:line="240" w:lineRule="auto"/>
      </w:pPr>
      <w:r>
        <w:separator/>
      </w:r>
    </w:p>
  </w:endnote>
  <w:endnote w:type="continuationSeparator" w:id="0">
    <w:p w14:paraId="5AA3BDCE" w14:textId="77777777" w:rsidR="008E39B9" w:rsidRDefault="008E39B9" w:rsidP="00B52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CE9248" w14:textId="77777777" w:rsidR="008E39B9" w:rsidRDefault="008E39B9" w:rsidP="00B52467">
      <w:pPr>
        <w:spacing w:after="0" w:line="240" w:lineRule="auto"/>
      </w:pPr>
      <w:r>
        <w:separator/>
      </w:r>
    </w:p>
  </w:footnote>
  <w:footnote w:type="continuationSeparator" w:id="0">
    <w:p w14:paraId="44F3DAFD" w14:textId="77777777" w:rsidR="008E39B9" w:rsidRDefault="008E39B9" w:rsidP="00B52467">
      <w:pPr>
        <w:spacing w:after="0" w:line="240" w:lineRule="auto"/>
      </w:pPr>
      <w:r>
        <w:continuationSeparator/>
      </w:r>
    </w:p>
  </w:footnote>
  <w:footnote w:id="1">
    <w:p w14:paraId="276C7E19" w14:textId="77777777" w:rsidR="00B52467" w:rsidRPr="000B01AA" w:rsidRDefault="00B52467" w:rsidP="00B52467">
      <w:pPr>
        <w:pStyle w:val="FootnoteText"/>
        <w:spacing w:before="0" w:after="0"/>
        <w:ind w:left="0" w:firstLine="0"/>
        <w:contextualSpacing/>
        <w:rPr>
          <w:rFonts w:asciiTheme="minorHAnsi" w:hAnsiTheme="minorHAnsi"/>
          <w:lang w:val="en-US"/>
        </w:rPr>
      </w:pPr>
      <w:r w:rsidRPr="000B01AA">
        <w:rPr>
          <w:rStyle w:val="FootnoteReference"/>
          <w:rFonts w:asciiTheme="minorHAnsi" w:hAnsiTheme="minorHAnsi" w:cs="Calibri"/>
        </w:rPr>
        <w:footnoteRef/>
      </w:r>
      <w:r w:rsidRPr="000B01AA">
        <w:rPr>
          <w:rFonts w:asciiTheme="minorHAnsi" w:hAnsiTheme="minorHAnsi" w:cs="Calibri"/>
        </w:rPr>
        <w:t xml:space="preserve"> </w:t>
      </w:r>
      <w:r w:rsidRPr="000B01AA">
        <w:rPr>
          <w:rFonts w:asciiTheme="minorHAnsi" w:hAnsiTheme="minorHAnsi" w:cs="Calibri"/>
          <w:lang w:val="pl-PL"/>
        </w:rPr>
        <w:t>Smjernice za regionalnu državnu pomoć za period 2014 – 2020 (SL C C 153, 29.4.2021., str. 1)</w:t>
      </w:r>
    </w:p>
  </w:footnote>
  <w:footnote w:id="2">
    <w:p w14:paraId="082E5748" w14:textId="77777777" w:rsidR="00B52467" w:rsidRPr="000B01AA" w:rsidRDefault="00B52467" w:rsidP="00B52467">
      <w:pPr>
        <w:pStyle w:val="FootnoteText"/>
        <w:spacing w:before="0" w:after="0"/>
        <w:ind w:left="0" w:firstLine="0"/>
        <w:contextualSpacing/>
        <w:rPr>
          <w:rFonts w:asciiTheme="minorHAnsi" w:hAnsiTheme="minorHAnsi"/>
          <w:lang w:val="sr-Latn-ME"/>
        </w:rPr>
      </w:pPr>
      <w:r w:rsidRPr="000B01AA">
        <w:rPr>
          <w:rStyle w:val="FootnoteReference"/>
          <w:rFonts w:asciiTheme="minorHAnsi" w:hAnsiTheme="minorHAnsi" w:cs="Calibri"/>
        </w:rPr>
        <w:footnoteRef/>
      </w:r>
      <w:r w:rsidRPr="000B01AA">
        <w:rPr>
          <w:rFonts w:asciiTheme="minorHAnsi" w:hAnsiTheme="minorHAnsi" w:cs="Calibri"/>
        </w:rPr>
        <w:t xml:space="preserve"> </w:t>
      </w:r>
      <w:r w:rsidRPr="000B01AA">
        <w:rPr>
          <w:rFonts w:asciiTheme="minorHAnsi" w:hAnsiTheme="minorHAnsi" w:cs="Calibri"/>
          <w:lang w:val="pl-PL"/>
        </w:rPr>
        <w:t xml:space="preserve">Regulativa </w:t>
      </w:r>
      <w:r w:rsidRPr="000B01AA">
        <w:rPr>
          <w:rFonts w:asciiTheme="minorHAnsi" w:hAnsiTheme="minorHAnsi" w:cs="Calibri"/>
          <w:lang w:val="pl-PL"/>
        </w:rPr>
        <w:t xml:space="preserve">Komisije (EU) br. 651/2014 </w:t>
      </w:r>
      <w:proofErr w:type="spellStart"/>
      <w:r w:rsidRPr="000B01AA">
        <w:rPr>
          <w:rFonts w:asciiTheme="minorHAnsi" w:hAnsiTheme="minorHAnsi" w:cs="Calibri"/>
        </w:rPr>
        <w:t>о</w:t>
      </w:r>
      <w:r w:rsidRPr="000B01AA">
        <w:rPr>
          <w:rFonts w:asciiTheme="minorHAnsi" w:hAnsiTheme="minorHAnsi" w:cs="Calibri"/>
          <w:lang w:val="pl-PL"/>
        </w:rPr>
        <w:t>d</w:t>
      </w:r>
      <w:proofErr w:type="spellEnd"/>
      <w:r w:rsidRPr="000B01AA">
        <w:rPr>
          <w:rFonts w:asciiTheme="minorHAnsi" w:hAnsiTheme="minorHAnsi" w:cs="Calibri"/>
          <w:lang w:val="pl-PL"/>
        </w:rPr>
        <w:t xml:space="preserve"> 17 juna 2014. godine o ocjenjivanju određenih kategorija pomoći usklađenih sa unutrašnjim tržištem u primjeni čl. 107 i 108 Ugovora (Sl L 187, 26.6.2014., str. 1, ELI:</w:t>
      </w:r>
      <w:r w:rsidRPr="000B01AA">
        <w:rPr>
          <w:rFonts w:asciiTheme="minorHAnsi" w:hAnsiTheme="minorHAnsi"/>
        </w:rPr>
        <w:t xml:space="preserve"> </w:t>
      </w:r>
      <w:hyperlink r:id="rId1" w:tooltip="Gives access to this document through its ELI URI." w:history="1">
        <w:r w:rsidRPr="000B01AA">
          <w:rPr>
            <w:rStyle w:val="Hyperlink"/>
            <w:rFonts w:asciiTheme="minorHAnsi" w:hAnsiTheme="minorHAnsi"/>
          </w:rPr>
          <w:t>http://data.europa.eu/eli/reg/2014/651/oj</w:t>
        </w:r>
      </w:hyperlink>
      <w:r w:rsidRPr="000B01AA">
        <w:rPr>
          <w:rFonts w:asciiTheme="minorHAnsi" w:hAnsiTheme="minorHAnsi" w:cs="Calibri"/>
          <w:lang w:val="pl-PL"/>
        </w:rPr>
        <w:t>).</w:t>
      </w:r>
    </w:p>
  </w:footnote>
  <w:footnote w:id="3">
    <w:p w14:paraId="74D72298" w14:textId="77777777" w:rsidR="00B52467" w:rsidRPr="000B01AA" w:rsidRDefault="00B52467" w:rsidP="00B52467">
      <w:pPr>
        <w:pStyle w:val="FootnoteText"/>
        <w:spacing w:before="0" w:after="0"/>
        <w:ind w:left="0" w:firstLine="0"/>
        <w:contextualSpacing/>
        <w:rPr>
          <w:rFonts w:asciiTheme="minorHAnsi" w:hAnsiTheme="minorHAnsi" w:cs="Calibri"/>
          <w:lang w:val="pl-PL"/>
        </w:rPr>
      </w:pPr>
      <w:r w:rsidRPr="000B01AA">
        <w:rPr>
          <w:rStyle w:val="FootnoteReference"/>
          <w:rFonts w:asciiTheme="minorHAnsi" w:hAnsiTheme="minorHAnsi" w:cs="Calibri"/>
        </w:rPr>
        <w:footnoteRef/>
      </w:r>
      <w:r w:rsidRPr="000B01AA">
        <w:rPr>
          <w:rFonts w:asciiTheme="minorHAnsi" w:hAnsiTheme="minorHAnsi" w:cs="Calibri"/>
        </w:rPr>
        <w:t xml:space="preserve"> </w:t>
      </w:r>
      <w:r w:rsidRPr="000B01AA">
        <w:rPr>
          <w:rFonts w:asciiTheme="minorHAnsi" w:hAnsiTheme="minorHAnsi" w:cs="Calibri"/>
          <w:lang w:val="pl-PL"/>
        </w:rPr>
        <w:t xml:space="preserve">Regulativa Komisije (EU) br. 2023/2831 od 13. decembra 2023. godine o primjeni čl. 107 i 108 Ugovora o funkcionisanju Evropske unije na </w:t>
      </w:r>
      <w:r w:rsidRPr="000B01AA">
        <w:rPr>
          <w:rFonts w:asciiTheme="minorHAnsi" w:hAnsiTheme="minorHAnsi" w:cs="Calibri"/>
          <w:i/>
          <w:lang w:val="pl-PL"/>
        </w:rPr>
        <w:t>de minimis</w:t>
      </w:r>
      <w:r w:rsidRPr="000B01AA">
        <w:rPr>
          <w:rFonts w:asciiTheme="minorHAnsi" w:hAnsiTheme="minorHAnsi" w:cs="Calibri"/>
          <w:lang w:val="pl-PL"/>
        </w:rPr>
        <w:t xml:space="preserve"> pomoć (SL L 2023/2831, 15.12.2023., ELI: </w:t>
      </w:r>
      <w:r w:rsidRPr="000B01AA">
        <w:rPr>
          <w:rFonts w:asciiTheme="minorHAnsi" w:hAnsiTheme="minorHAnsi"/>
        </w:rPr>
        <w:t> </w:t>
      </w:r>
      <w:hyperlink r:id="rId2" w:tgtFrame="_blank" w:tooltip="Gives access to this document through its ELI URI." w:history="1">
        <w:r w:rsidRPr="000B01AA">
          <w:rPr>
            <w:rStyle w:val="Hyperlink"/>
            <w:rFonts w:asciiTheme="minorHAnsi" w:hAnsiTheme="minorHAnsi"/>
          </w:rPr>
          <w:t>http://data.europa.eu/eli/reg/2023/2831/oj</w:t>
        </w:r>
      </w:hyperlink>
      <w:r w:rsidRPr="000B01AA">
        <w:rPr>
          <w:rFonts w:asciiTheme="minorHAnsi" w:hAnsiTheme="minorHAnsi" w:cs="Calibri"/>
          <w:lang w:val="pl-PL"/>
        </w:rPr>
        <w:t>).</w:t>
      </w:r>
    </w:p>
  </w:footnote>
  <w:footnote w:id="4">
    <w:p w14:paraId="7C571F52" w14:textId="77777777" w:rsidR="00B52467" w:rsidRPr="0087228B" w:rsidRDefault="00B52467" w:rsidP="00B52467">
      <w:pPr>
        <w:pStyle w:val="FootnoteText"/>
        <w:spacing w:before="0" w:after="0"/>
        <w:ind w:left="0" w:firstLine="0"/>
        <w:contextualSpacing/>
        <w:rPr>
          <w:rFonts w:asciiTheme="minorHAnsi" w:hAnsiTheme="minorHAnsi" w:cs="Calibri"/>
        </w:rPr>
      </w:pPr>
      <w:r w:rsidRPr="0087228B">
        <w:rPr>
          <w:rStyle w:val="FootnoteReference"/>
          <w:rFonts w:asciiTheme="minorHAnsi" w:hAnsiTheme="minorHAnsi" w:cs="Calibri"/>
        </w:rPr>
        <w:footnoteRef/>
      </w:r>
      <w:r w:rsidRPr="0087228B">
        <w:rPr>
          <w:rFonts w:asciiTheme="minorHAnsi" w:hAnsiTheme="minorHAnsi" w:cs="Calibri"/>
        </w:rPr>
        <w:t xml:space="preserve"> </w:t>
      </w:r>
      <w:r w:rsidRPr="0087228B">
        <w:rPr>
          <w:rFonts w:asciiTheme="minorHAnsi" w:hAnsiTheme="minorHAnsi" w:cs="Calibri"/>
          <w:lang w:val="pl-PL"/>
        </w:rPr>
        <w:t>Kako je definisano u Smjernicama o državnoj pomoći za sanaciju i restrukturiranje  nefinansijskih privrednih društava u poteškoćama (SL C 249, 31.7.2014, str. 1).</w:t>
      </w:r>
    </w:p>
  </w:footnote>
  <w:footnote w:id="5">
    <w:p w14:paraId="3559819A" w14:textId="77777777" w:rsidR="00B52467" w:rsidRPr="0087228B" w:rsidRDefault="00B52467" w:rsidP="00B52467">
      <w:pPr>
        <w:pStyle w:val="FootnoteText"/>
        <w:spacing w:before="0" w:after="0"/>
        <w:ind w:left="0" w:firstLine="0"/>
        <w:contextualSpacing/>
        <w:rPr>
          <w:rFonts w:asciiTheme="minorHAnsi" w:hAnsiTheme="minorHAnsi" w:cs="Calibri"/>
          <w:color w:val="000000"/>
          <w:lang w:val="pl-PL"/>
        </w:rPr>
      </w:pPr>
      <w:r w:rsidRPr="0087228B">
        <w:rPr>
          <w:rStyle w:val="FootnoteReference"/>
          <w:rFonts w:asciiTheme="minorHAnsi" w:hAnsiTheme="minorHAnsi" w:cs="Calibri"/>
        </w:rPr>
        <w:footnoteRef/>
      </w:r>
      <w:r w:rsidRPr="0087228B">
        <w:rPr>
          <w:rFonts w:asciiTheme="minorHAnsi" w:hAnsiTheme="minorHAnsi" w:cs="Calibri"/>
        </w:rPr>
        <w:t xml:space="preserve"> </w:t>
      </w:r>
      <w:r w:rsidRPr="0087228B">
        <w:rPr>
          <w:rFonts w:asciiTheme="minorHAnsi" w:hAnsiTheme="minorHAnsi" w:cs="Calibri"/>
          <w:lang w:val="pl-PL"/>
        </w:rPr>
        <w:t xml:space="preserve">Kako </w:t>
      </w:r>
      <w:r w:rsidRPr="0087228B">
        <w:rPr>
          <w:rFonts w:asciiTheme="minorHAnsi" w:hAnsiTheme="minorHAnsi" w:cs="Calibri"/>
          <w:lang w:val="pl-PL"/>
        </w:rPr>
        <w:t>je definisano u Prilogu VI RAG-a.</w:t>
      </w:r>
    </w:p>
  </w:footnote>
  <w:footnote w:id="6">
    <w:p w14:paraId="45CDD1AD" w14:textId="77777777" w:rsidR="00B52467" w:rsidRPr="0087228B" w:rsidRDefault="00B52467" w:rsidP="00B52467">
      <w:pPr>
        <w:pStyle w:val="FootnoteText"/>
        <w:spacing w:before="0" w:after="0"/>
        <w:ind w:left="0" w:firstLine="0"/>
        <w:contextualSpacing/>
        <w:rPr>
          <w:rFonts w:asciiTheme="minorHAnsi" w:hAnsiTheme="minorHAnsi" w:cs="Calibri"/>
        </w:rPr>
      </w:pPr>
      <w:r w:rsidRPr="0087228B">
        <w:rPr>
          <w:rStyle w:val="FootnoteReference"/>
          <w:rFonts w:asciiTheme="minorHAnsi" w:hAnsiTheme="minorHAnsi" w:cs="Calibri"/>
        </w:rPr>
        <w:footnoteRef/>
      </w:r>
      <w:r w:rsidRPr="0087228B">
        <w:rPr>
          <w:rFonts w:asciiTheme="minorHAnsi" w:hAnsiTheme="minorHAnsi" w:cs="Calibri"/>
        </w:rPr>
        <w:t xml:space="preserve"> </w:t>
      </w:r>
      <w:r w:rsidRPr="0087228B">
        <w:rPr>
          <w:rFonts w:asciiTheme="minorHAnsi" w:hAnsiTheme="minorHAnsi" w:cs="Calibri"/>
          <w:lang w:val="pl-PL"/>
        </w:rPr>
        <w:t xml:space="preserve">„Lignit“ </w:t>
      </w:r>
      <w:r w:rsidRPr="0087228B">
        <w:rPr>
          <w:rFonts w:asciiTheme="minorHAnsi" w:hAnsiTheme="minorHAnsi" w:cs="Calibri"/>
          <w:lang w:val="pl-PL"/>
        </w:rPr>
        <w:t>znači niskorangirani C ili ortolignit i niskorangirani B ili metalignit, kako je definisano međunarodnim sistemom kodifikacije za ugalj uspostavljenim od strane Ekonomske komisije Ujedinjenih nacija za Evropu.</w:t>
      </w:r>
    </w:p>
  </w:footnote>
  <w:footnote w:id="7">
    <w:p w14:paraId="03F1C6CC" w14:textId="77777777" w:rsidR="00B52467" w:rsidRPr="0087228B" w:rsidRDefault="00B52467" w:rsidP="00B52467">
      <w:pPr>
        <w:pStyle w:val="FootnoteText"/>
        <w:ind w:left="0" w:firstLine="0"/>
        <w:contextualSpacing/>
        <w:rPr>
          <w:rFonts w:asciiTheme="minorHAnsi" w:hAnsiTheme="minorHAnsi" w:cs="Calibri"/>
          <w:lang w:val="sr-Latn-ME"/>
        </w:rPr>
      </w:pPr>
      <w:r w:rsidRPr="0087228B">
        <w:rPr>
          <w:rStyle w:val="FootnoteReference"/>
          <w:rFonts w:asciiTheme="minorHAnsi" w:hAnsiTheme="minorHAnsi" w:cs="Calibri"/>
        </w:rPr>
        <w:footnoteRef/>
      </w:r>
      <w:r w:rsidRPr="0087228B">
        <w:rPr>
          <w:rFonts w:asciiTheme="minorHAnsi" w:hAnsiTheme="minorHAnsi" w:cs="Calibri"/>
          <w:lang w:val="sr-Latn-ME"/>
        </w:rPr>
        <w:t xml:space="preserve"> </w:t>
      </w:r>
      <w:r w:rsidRPr="0087228B">
        <w:rPr>
          <w:rFonts w:asciiTheme="minorHAnsi" w:hAnsiTheme="minorHAnsi" w:cs="Calibri"/>
          <w:lang w:val="pl-PL"/>
        </w:rPr>
        <w:t xml:space="preserve">„Ugalj“ </w:t>
      </w:r>
      <w:r w:rsidRPr="0087228B">
        <w:rPr>
          <w:rFonts w:asciiTheme="minorHAnsi" w:hAnsiTheme="minorHAnsi" w:cs="Calibri"/>
          <w:lang w:val="pl-PL"/>
        </w:rPr>
        <w:t>znači ugalj visokog, srednjeg i niskog kvaliteta kategorija A i B, kako je definisano međunarodnim sistemom kodifikacije uglja koji je utvrdila Ekonomska komisija Ujedinjenih nacija za Evropu i pojašnjeno u odluci Savjeta od 10. decembra 2010. o državnoj pomoći za olakšavanje zatvaranja nekonkurentnih rudnika uglja (SL L 336, 21.12.2010, str. 24).</w:t>
      </w:r>
    </w:p>
  </w:footnote>
  <w:footnote w:id="8">
    <w:p w14:paraId="6D6437A1" w14:textId="77777777" w:rsidR="00B52467" w:rsidRPr="0087228B" w:rsidRDefault="00B52467" w:rsidP="00B52467">
      <w:pPr>
        <w:pStyle w:val="FootnoteText"/>
        <w:ind w:left="0" w:firstLine="0"/>
        <w:contextualSpacing/>
        <w:rPr>
          <w:rFonts w:asciiTheme="minorHAnsi" w:hAnsiTheme="minorHAnsi" w:cs="Calibri"/>
          <w:lang w:val="sr-Latn-ME"/>
        </w:rPr>
      </w:pPr>
      <w:r w:rsidRPr="0087228B">
        <w:rPr>
          <w:rStyle w:val="FootnoteReference"/>
          <w:rFonts w:asciiTheme="minorHAnsi" w:hAnsiTheme="minorHAnsi" w:cs="Calibri"/>
        </w:rPr>
        <w:footnoteRef/>
      </w:r>
      <w:r w:rsidRPr="0087228B">
        <w:rPr>
          <w:rFonts w:asciiTheme="minorHAnsi" w:hAnsiTheme="minorHAnsi" w:cs="Calibri"/>
          <w:lang w:val="sr-Latn-ME"/>
        </w:rPr>
        <w:t xml:space="preserve"> </w:t>
      </w:r>
      <w:r w:rsidRPr="0087228B">
        <w:rPr>
          <w:rFonts w:asciiTheme="minorHAnsi" w:hAnsiTheme="minorHAnsi" w:cs="Calibri"/>
          <w:lang w:val="pl-PL"/>
        </w:rPr>
        <w:t xml:space="preserve">Kako </w:t>
      </w:r>
      <w:r w:rsidRPr="0087228B">
        <w:rPr>
          <w:rFonts w:asciiTheme="minorHAnsi" w:hAnsiTheme="minorHAnsi" w:cs="Calibri"/>
          <w:lang w:val="pl-PL"/>
        </w:rPr>
        <w:t>je obuhvaćeno Regulativom (EU) br. 1379/2013 Evropskog parlamenta i Savjeta od 11. decembra 2013. o zajedničkoj organizaciji tržišta ribljih i akvakulturnih proizvoda, kojom se mijenja Regulativa Savjeta (EZ) br. 1184/2006 i (EZ) br. 1224/2009 i ukida Regulativa Savjeta (EZ) br. 104/2000 (SL L 354, 28.12.2013, str. 1).</w:t>
      </w:r>
    </w:p>
  </w:footnote>
  <w:footnote w:id="9">
    <w:p w14:paraId="38B70C2E" w14:textId="77777777" w:rsidR="00B52467" w:rsidRPr="0087228B" w:rsidRDefault="00B52467" w:rsidP="00B52467">
      <w:pPr>
        <w:pStyle w:val="FootnoteText"/>
        <w:ind w:left="0" w:firstLine="0"/>
        <w:contextualSpacing/>
        <w:rPr>
          <w:rFonts w:asciiTheme="minorHAnsi" w:hAnsiTheme="minorHAnsi" w:cs="Calibri"/>
          <w:lang w:val="sr-Latn-ME"/>
        </w:rPr>
      </w:pPr>
      <w:r w:rsidRPr="0087228B">
        <w:rPr>
          <w:rStyle w:val="FootnoteReference"/>
          <w:rFonts w:asciiTheme="minorHAnsi" w:hAnsiTheme="minorHAnsi" w:cs="Calibri"/>
        </w:rPr>
        <w:footnoteRef/>
      </w:r>
      <w:r w:rsidRPr="0087228B">
        <w:rPr>
          <w:rFonts w:asciiTheme="minorHAnsi" w:hAnsiTheme="minorHAnsi" w:cs="Calibri"/>
          <w:lang w:val="sr-Latn-ME"/>
        </w:rPr>
        <w:t xml:space="preserve"> </w:t>
      </w:r>
      <w:r w:rsidRPr="0087228B">
        <w:rPr>
          <w:rFonts w:asciiTheme="minorHAnsi" w:hAnsiTheme="minorHAnsi" w:cs="Calibri"/>
          <w:lang w:val="pl-PL"/>
        </w:rPr>
        <w:t xml:space="preserve">Državna </w:t>
      </w:r>
      <w:r w:rsidRPr="0087228B">
        <w:rPr>
          <w:rFonts w:asciiTheme="minorHAnsi" w:hAnsiTheme="minorHAnsi" w:cs="Calibri"/>
          <w:lang w:val="pl-PL"/>
        </w:rPr>
        <w:t>pomoć za primarnu proizvodnju, preradu i stavljanje na tržište poljoprivrednih proizvoda koji rezultiraju poljoprivrednim proizvodima navedenim u Prilogu I Ugovora i za šumarstvo primjenjuju se pravila utvrđena u Smjernicama za državnu pomoć u poljoprivrednom sektoru (SL C 204, 1.7.2014, str. 1).</w:t>
      </w:r>
    </w:p>
  </w:footnote>
  <w:footnote w:id="10">
    <w:p w14:paraId="615B21BE" w14:textId="77777777" w:rsidR="00B52467" w:rsidRPr="0087228B" w:rsidRDefault="00B52467" w:rsidP="00B52467">
      <w:pPr>
        <w:pStyle w:val="FootnoteText"/>
        <w:spacing w:before="0" w:after="0"/>
        <w:ind w:left="0" w:firstLine="0"/>
        <w:contextualSpacing/>
        <w:rPr>
          <w:rFonts w:asciiTheme="minorHAnsi" w:hAnsiTheme="minorHAnsi" w:cs="Calibri"/>
        </w:rPr>
      </w:pPr>
      <w:r w:rsidRPr="0087228B">
        <w:rPr>
          <w:rStyle w:val="FootnoteReference"/>
          <w:rFonts w:asciiTheme="minorHAnsi" w:hAnsiTheme="minorHAnsi" w:cs="Calibri"/>
        </w:rPr>
        <w:footnoteRef/>
      </w:r>
      <w:r w:rsidRPr="0087228B">
        <w:rPr>
          <w:rFonts w:asciiTheme="minorHAnsi" w:hAnsiTheme="minorHAnsi" w:cs="Calibri"/>
          <w:lang w:val="pl-PL"/>
        </w:rPr>
        <w:t xml:space="preserve"> </w:t>
      </w:r>
      <w:r w:rsidRPr="0087228B">
        <w:rPr>
          <w:rFonts w:asciiTheme="minorHAnsi" w:hAnsiTheme="minorHAnsi" w:cs="Calibri"/>
          <w:lang w:val="pl-PL"/>
        </w:rPr>
        <w:t xml:space="preserve">RAG </w:t>
      </w:r>
      <w:r w:rsidRPr="0087228B">
        <w:rPr>
          <w:rFonts w:asciiTheme="minorHAnsi" w:hAnsiTheme="minorHAnsi" w:cs="Calibri"/>
          <w:lang w:val="pl-PL"/>
        </w:rPr>
        <w:t>se primjenjuju na šeme pomoći koje podržavaju djelatnosti van okvira člana 42 Ugovora koje su sufinansirane iz Evropskog poljoprivrednog fonda za ruralni razvoj (EAFRD) ili se dodjeljuju kao dodatno nacionalno finansiranje za takve sufinansirane mjere, osim ako sektorska pravila ne propisuju drugačije.</w:t>
      </w:r>
    </w:p>
  </w:footnote>
  <w:footnote w:id="11">
    <w:p w14:paraId="002A587C" w14:textId="77777777" w:rsidR="00B52467" w:rsidRPr="0087228B" w:rsidRDefault="00B52467" w:rsidP="00B52467">
      <w:pPr>
        <w:pStyle w:val="FootnoteText"/>
        <w:ind w:left="0" w:firstLine="0"/>
        <w:contextualSpacing/>
        <w:rPr>
          <w:rFonts w:asciiTheme="minorHAnsi" w:hAnsiTheme="minorHAnsi" w:cs="Calibri"/>
          <w:lang w:val="sr-Latn-ME"/>
        </w:rPr>
      </w:pPr>
      <w:r w:rsidRPr="0087228B">
        <w:rPr>
          <w:rStyle w:val="FootnoteReference"/>
          <w:rFonts w:asciiTheme="minorHAnsi" w:hAnsiTheme="minorHAnsi" w:cs="Calibri"/>
        </w:rPr>
        <w:footnoteRef/>
      </w:r>
      <w:r w:rsidRPr="0087228B">
        <w:rPr>
          <w:rFonts w:asciiTheme="minorHAnsi" w:hAnsiTheme="minorHAnsi" w:cs="Calibri"/>
          <w:lang w:val="sr-Latn-ME"/>
        </w:rPr>
        <w:t xml:space="preserve"> </w:t>
      </w:r>
      <w:r>
        <w:rPr>
          <w:rFonts w:asciiTheme="minorHAnsi" w:hAnsiTheme="minorHAnsi" w:cs="Calibri"/>
          <w:lang w:val="pl-PL"/>
        </w:rPr>
        <w:t>Saobraćaj</w:t>
      </w:r>
      <w:r w:rsidRPr="0087228B">
        <w:rPr>
          <w:rFonts w:asciiTheme="minorHAnsi" w:hAnsiTheme="minorHAnsi" w:cs="Calibri"/>
          <w:lang w:val="pl-PL"/>
        </w:rPr>
        <w:t xml:space="preserve"> </w:t>
      </w:r>
      <w:r w:rsidRPr="0087228B">
        <w:rPr>
          <w:rFonts w:asciiTheme="minorHAnsi" w:hAnsiTheme="minorHAnsi" w:cs="Calibri"/>
          <w:lang w:val="pl-PL"/>
        </w:rPr>
        <w:t>podrazumijeva prevoz putnika avionom, pomorskim putem, drumom, žel</w:t>
      </w:r>
      <w:r>
        <w:rPr>
          <w:rFonts w:asciiTheme="minorHAnsi" w:hAnsiTheme="minorHAnsi" w:cs="Calibri"/>
          <w:lang w:val="pl-PL"/>
        </w:rPr>
        <w:t>j</w:t>
      </w:r>
      <w:r w:rsidRPr="0087228B">
        <w:rPr>
          <w:rFonts w:asciiTheme="minorHAnsi" w:hAnsiTheme="minorHAnsi" w:cs="Calibri"/>
          <w:lang w:val="pl-PL"/>
        </w:rPr>
        <w:t xml:space="preserve">eznicom i unutrašnjim vodnim putem ili pružanje usluga prevoza tereta </w:t>
      </w:r>
      <w:r>
        <w:rPr>
          <w:rFonts w:asciiTheme="minorHAnsi" w:hAnsiTheme="minorHAnsi" w:cs="Calibri"/>
          <w:lang w:val="pl-PL"/>
        </w:rPr>
        <w:t>za iznajmljivanje ili naknadu. Saobraćajna</w:t>
      </w:r>
      <w:r w:rsidRPr="0087228B">
        <w:rPr>
          <w:rFonts w:asciiTheme="minorHAnsi" w:hAnsiTheme="minorHAnsi" w:cs="Calibri"/>
          <w:lang w:val="pl-PL"/>
        </w:rPr>
        <w:t xml:space="preserve"> infrastruktura obuhvaćena posebnim smjernicama, kao što su aerodromi, takođe je isključena iz ovih Smjernica (vidi Saopštenje Komisije – Smjernice o državnoj pomoći aerodromima i aviokompanijama (SL C 99, 4.4.2014, str. 3)).</w:t>
      </w:r>
    </w:p>
  </w:footnote>
  <w:footnote w:id="12">
    <w:p w14:paraId="73913415" w14:textId="77777777" w:rsidR="00B52467" w:rsidRPr="0087228B" w:rsidRDefault="00B52467" w:rsidP="00B52467">
      <w:pPr>
        <w:pStyle w:val="FootnoteText"/>
        <w:spacing w:before="0" w:after="0"/>
        <w:ind w:left="0" w:firstLine="0"/>
        <w:contextualSpacing/>
        <w:rPr>
          <w:rFonts w:asciiTheme="minorHAnsi" w:hAnsiTheme="minorHAnsi" w:cs="Calibri"/>
          <w:lang w:val="sr-Latn-ME"/>
        </w:rPr>
      </w:pPr>
      <w:r w:rsidRPr="0087228B">
        <w:rPr>
          <w:rStyle w:val="FootnoteReference"/>
          <w:rFonts w:asciiTheme="minorHAnsi" w:hAnsiTheme="minorHAnsi" w:cs="Calibri"/>
        </w:rPr>
        <w:footnoteRef/>
      </w:r>
      <w:r w:rsidRPr="0087228B">
        <w:rPr>
          <w:rFonts w:asciiTheme="minorHAnsi" w:hAnsiTheme="minorHAnsi" w:cs="Calibri"/>
          <w:lang w:val="sr-Latn-ME"/>
        </w:rPr>
        <w:t xml:space="preserve"> </w:t>
      </w:r>
      <w:r w:rsidRPr="0087228B">
        <w:rPr>
          <w:rFonts w:asciiTheme="minorHAnsi" w:hAnsiTheme="minorHAnsi" w:cs="Calibri"/>
          <w:lang w:val="pl-PL"/>
        </w:rPr>
        <w:t>Saopštenje Komisije – Smjernice EU-a za primjenu pravila o državnoj pomoći u vezi sa brzom implementacijom širokopojasnih mreža (SL C 25, 26.1.2013, str. 1).</w:t>
      </w:r>
    </w:p>
  </w:footnote>
  <w:footnote w:id="13">
    <w:p w14:paraId="2487FBD3" w14:textId="77777777" w:rsidR="00B52467" w:rsidRPr="0087228B" w:rsidRDefault="00B52467" w:rsidP="00B52467">
      <w:pPr>
        <w:pStyle w:val="FootnoteText"/>
        <w:ind w:left="0" w:firstLine="0"/>
        <w:contextualSpacing/>
        <w:rPr>
          <w:rFonts w:asciiTheme="minorHAnsi" w:hAnsiTheme="minorHAnsi" w:cs="Calibri"/>
          <w:lang w:val="sr-Latn-ME"/>
        </w:rPr>
      </w:pPr>
      <w:r w:rsidRPr="0087228B">
        <w:rPr>
          <w:rStyle w:val="FootnoteReference"/>
          <w:rFonts w:asciiTheme="minorHAnsi" w:hAnsiTheme="minorHAnsi" w:cs="Calibri"/>
        </w:rPr>
        <w:footnoteRef/>
      </w:r>
      <w:r w:rsidRPr="0087228B">
        <w:rPr>
          <w:rFonts w:asciiTheme="minorHAnsi" w:hAnsiTheme="minorHAnsi" w:cs="Calibri"/>
          <w:lang w:val="sr-Latn-ME"/>
        </w:rPr>
        <w:t xml:space="preserve"> </w:t>
      </w:r>
      <w:r w:rsidRPr="0087228B">
        <w:rPr>
          <w:rFonts w:asciiTheme="minorHAnsi" w:hAnsiTheme="minorHAnsi" w:cs="Calibri"/>
          <w:lang w:val="pl-PL"/>
        </w:rPr>
        <w:t xml:space="preserve">Komisija </w:t>
      </w:r>
      <w:r w:rsidRPr="0087228B">
        <w:rPr>
          <w:rFonts w:asciiTheme="minorHAnsi" w:hAnsiTheme="minorHAnsi" w:cs="Calibri"/>
          <w:lang w:val="pl-PL"/>
        </w:rPr>
        <w:t>će procijeniti usklađenost državne pomoći energetskom sektoru na osnovu Smjernica o državnoj pomoći za zaštitu životne sredine i energetiku za period 2014–2020 (SL C 200, 28.6.2014, str. 1).</w:t>
      </w:r>
    </w:p>
  </w:footnote>
  <w:footnote w:id="14">
    <w:p w14:paraId="0FD488A0" w14:textId="77777777" w:rsidR="00B52467" w:rsidRPr="0087228B" w:rsidRDefault="00B52467" w:rsidP="00B52467">
      <w:pPr>
        <w:pStyle w:val="FootnoteText"/>
        <w:spacing w:before="0" w:after="0"/>
        <w:ind w:left="0" w:firstLine="0"/>
        <w:contextualSpacing/>
        <w:rPr>
          <w:rFonts w:asciiTheme="minorHAnsi" w:hAnsiTheme="minorHAnsi" w:cs="Calibri"/>
          <w:lang w:val="pl-PL"/>
        </w:rPr>
      </w:pPr>
      <w:r w:rsidRPr="0087228B">
        <w:rPr>
          <w:rStyle w:val="FootnoteReference"/>
          <w:rFonts w:asciiTheme="minorHAnsi" w:hAnsiTheme="minorHAnsi" w:cs="Calibri"/>
        </w:rPr>
        <w:footnoteRef/>
      </w:r>
      <w:r w:rsidRPr="0087228B">
        <w:rPr>
          <w:rFonts w:asciiTheme="minorHAnsi" w:hAnsiTheme="minorHAnsi" w:cs="Calibri"/>
        </w:rPr>
        <w:t xml:space="preserve"> </w:t>
      </w:r>
      <w:r w:rsidRPr="0087228B">
        <w:rPr>
          <w:rFonts w:asciiTheme="minorHAnsi" w:hAnsiTheme="minorHAnsi" w:cs="Calibri"/>
          <w:lang w:val="pl-PL"/>
        </w:rPr>
        <w:t xml:space="preserve">„MSP-ovi” </w:t>
      </w:r>
      <w:r w:rsidRPr="0087228B">
        <w:rPr>
          <w:rFonts w:asciiTheme="minorHAnsi" w:hAnsiTheme="minorHAnsi" w:cs="Calibri"/>
          <w:lang w:val="pl-PL"/>
        </w:rPr>
        <w:t>znači privredna društva koja ispunjavaju uslove propisane Preporukom Komisije od 6. maja 2003. godine o definiciji mikro, malih i srednjih pravnih lica (SL L 124, 20.5.2003, str. 36).</w:t>
      </w:r>
    </w:p>
  </w:footnote>
  <w:footnote w:id="15">
    <w:p w14:paraId="678A13BA" w14:textId="77777777" w:rsidR="00B52467" w:rsidRPr="0087228B" w:rsidRDefault="00B52467" w:rsidP="00B52467">
      <w:pPr>
        <w:pStyle w:val="FootnoteText"/>
        <w:spacing w:before="0" w:after="0"/>
        <w:ind w:left="0" w:firstLine="0"/>
        <w:contextualSpacing/>
        <w:rPr>
          <w:rFonts w:asciiTheme="minorHAnsi" w:hAnsiTheme="minorHAnsi" w:cs="Calibri"/>
        </w:rPr>
      </w:pPr>
      <w:r w:rsidRPr="0087228B">
        <w:rPr>
          <w:rStyle w:val="FootnoteReference"/>
          <w:rFonts w:asciiTheme="minorHAnsi" w:hAnsiTheme="minorHAnsi" w:cs="Calibri"/>
        </w:rPr>
        <w:footnoteRef/>
      </w:r>
      <w:r w:rsidRPr="0087228B">
        <w:rPr>
          <w:rFonts w:asciiTheme="minorHAnsi" w:hAnsiTheme="minorHAnsi" w:cs="Calibri"/>
        </w:rPr>
        <w:t xml:space="preserve"> </w:t>
      </w:r>
      <w:r w:rsidRPr="0087228B">
        <w:rPr>
          <w:rFonts w:asciiTheme="minorHAnsi" w:hAnsiTheme="minorHAnsi" w:cs="Calibri"/>
          <w:lang w:val="pl-PL"/>
        </w:rPr>
        <w:t xml:space="preserve">Samo </w:t>
      </w:r>
      <w:r w:rsidRPr="0087228B">
        <w:rPr>
          <w:rFonts w:asciiTheme="minorHAnsi" w:hAnsiTheme="minorHAnsi" w:cs="Calibri"/>
          <w:lang w:val="pl-PL"/>
        </w:rPr>
        <w:t>sticanje udjela u nekom privrednom društvu ne smatra se početnim ulaganjem.</w:t>
      </w:r>
    </w:p>
  </w:footnote>
  <w:footnote w:id="16">
    <w:p w14:paraId="3723A9DA" w14:textId="77777777" w:rsidR="00B52467" w:rsidRPr="0087228B" w:rsidRDefault="00B52467" w:rsidP="00B52467">
      <w:pPr>
        <w:pStyle w:val="FootnoteText"/>
        <w:spacing w:before="0" w:after="0"/>
        <w:ind w:left="0" w:firstLine="0"/>
        <w:contextualSpacing/>
        <w:rPr>
          <w:rFonts w:asciiTheme="minorHAnsi" w:hAnsiTheme="minorHAnsi" w:cs="Calibri"/>
          <w:lang w:val="en-US"/>
        </w:rPr>
      </w:pPr>
      <w:r w:rsidRPr="0087228B">
        <w:rPr>
          <w:rStyle w:val="FootnoteReference"/>
          <w:rFonts w:asciiTheme="minorHAnsi" w:hAnsiTheme="minorHAnsi" w:cs="Calibri"/>
        </w:rPr>
        <w:footnoteRef/>
      </w:r>
      <w:r w:rsidRPr="0087228B">
        <w:rPr>
          <w:rFonts w:asciiTheme="minorHAnsi" w:hAnsiTheme="minorHAnsi" w:cs="Calibri"/>
        </w:rPr>
        <w:t xml:space="preserve"> </w:t>
      </w:r>
      <w:r w:rsidRPr="0087228B">
        <w:rPr>
          <w:rFonts w:asciiTheme="minorHAnsi" w:hAnsiTheme="minorHAnsi" w:cs="Calibri"/>
          <w:lang w:val="pl-PL"/>
        </w:rPr>
        <w:t xml:space="preserve">„Ista </w:t>
      </w:r>
      <w:r w:rsidRPr="0087228B">
        <w:rPr>
          <w:rFonts w:asciiTheme="minorHAnsi" w:hAnsiTheme="minorHAnsi" w:cs="Calibri"/>
          <w:lang w:val="pl-PL"/>
        </w:rPr>
        <w:t>ili slična djelatnost” znači djelatnost koja je obuhvaćena istom klasom (četvorocifreni brojčani kod) statističke klasifikacije ekonomskih djelatnosti NACE Rev. 2.</w:t>
      </w:r>
    </w:p>
  </w:footnote>
  <w:footnote w:id="17">
    <w:p w14:paraId="6E37DD85" w14:textId="77777777" w:rsidR="00B52467" w:rsidRPr="002D2BAD" w:rsidRDefault="00B52467" w:rsidP="00B52467">
      <w:pPr>
        <w:pStyle w:val="FootnoteText"/>
        <w:spacing w:before="0"/>
        <w:ind w:left="0" w:firstLine="0"/>
        <w:contextualSpacing/>
        <w:rPr>
          <w:rFonts w:ascii="Calibri" w:hAnsi="Calibri" w:cs="Calibri"/>
          <w:lang w:val="sr-Latn-ME"/>
        </w:rPr>
      </w:pPr>
      <w:r w:rsidRPr="0087228B">
        <w:rPr>
          <w:rStyle w:val="FootnoteReference"/>
          <w:rFonts w:asciiTheme="minorHAnsi" w:hAnsiTheme="minorHAnsi" w:cs="Calibri"/>
        </w:rPr>
        <w:footnoteRef/>
      </w:r>
      <w:r w:rsidRPr="0087228B">
        <w:rPr>
          <w:rFonts w:asciiTheme="minorHAnsi" w:hAnsiTheme="minorHAnsi" w:cs="Calibri"/>
          <w:lang w:val="sr-Latn-ME"/>
        </w:rPr>
        <w:t xml:space="preserve"> </w:t>
      </w:r>
      <w:r w:rsidRPr="0087228B">
        <w:rPr>
          <w:rFonts w:asciiTheme="minorHAnsi" w:hAnsiTheme="minorHAnsi" w:cs="Calibri"/>
          <w:lang w:val="sr-Latn-ME"/>
        </w:rPr>
        <w:t>Samo sticanje udjela u nekom privrednom društvu ne smatra se početnim ulaganje</w:t>
      </w:r>
      <w:r>
        <w:rPr>
          <w:rFonts w:asciiTheme="minorHAnsi" w:hAnsiTheme="minorHAnsi" w:cs="Calibri"/>
          <w:lang w:val="sr-Latn-ME"/>
        </w:rPr>
        <w:t>m kojim se pokreće nova ekonomska</w:t>
      </w:r>
      <w:r w:rsidRPr="0087228B">
        <w:rPr>
          <w:rFonts w:asciiTheme="minorHAnsi" w:hAnsiTheme="minorHAnsi" w:cs="Calibri"/>
          <w:lang w:val="sr-Latn-ME"/>
        </w:rPr>
        <w:t xml:space="preserve"> djelatnost.</w:t>
      </w:r>
    </w:p>
  </w:footnote>
  <w:footnote w:id="18">
    <w:p w14:paraId="703A2289" w14:textId="77777777" w:rsidR="00B52467" w:rsidRPr="00FF0ECE" w:rsidRDefault="00B52467" w:rsidP="00B52467">
      <w:pPr>
        <w:pStyle w:val="FootnoteText"/>
        <w:spacing w:before="0" w:after="0"/>
        <w:ind w:left="0" w:firstLine="0"/>
        <w:contextualSpacing/>
        <w:rPr>
          <w:rFonts w:ascii="Calibri" w:hAnsi="Calibri" w:cs="Calibri"/>
          <w:lang w:val="it-IT"/>
        </w:rPr>
      </w:pPr>
      <w:r w:rsidRPr="00FF0ECE">
        <w:rPr>
          <w:rStyle w:val="FootnoteReference"/>
          <w:rFonts w:ascii="Calibri" w:hAnsi="Calibri" w:cs="Calibri"/>
        </w:rPr>
        <w:footnoteRef/>
      </w:r>
      <w:r w:rsidRPr="00FF0ECE">
        <w:rPr>
          <w:rFonts w:ascii="Calibri" w:hAnsi="Calibri" w:cs="Calibri"/>
        </w:rPr>
        <w:t xml:space="preserve"> </w:t>
      </w:r>
      <w:r w:rsidRPr="00FF0ECE">
        <w:rPr>
          <w:rFonts w:ascii="Calibri" w:hAnsi="Calibri" w:cs="Calibri"/>
          <w:lang w:val="pl-PL"/>
        </w:rPr>
        <w:t>Ta odredba ne mora da se  primjenjuje na MSP-ove ili u slučaju sticanja poslovne jedinice.</w:t>
      </w:r>
    </w:p>
  </w:footnote>
  <w:footnote w:id="19">
    <w:p w14:paraId="014BDF47" w14:textId="77777777" w:rsidR="00B52467" w:rsidRPr="0087228B" w:rsidRDefault="00B52467" w:rsidP="00B52467">
      <w:pPr>
        <w:pStyle w:val="FootnoteText"/>
        <w:spacing w:before="0" w:after="0"/>
        <w:ind w:left="0" w:firstLine="0"/>
        <w:contextualSpacing/>
        <w:rPr>
          <w:rFonts w:asciiTheme="minorHAnsi" w:hAnsiTheme="minorHAnsi" w:cs="Calibri"/>
          <w:lang w:val="pl-PL"/>
        </w:rPr>
      </w:pPr>
      <w:r w:rsidRPr="0087228B">
        <w:rPr>
          <w:rStyle w:val="FootnoteReference"/>
          <w:rFonts w:asciiTheme="minorHAnsi" w:hAnsiTheme="minorHAnsi" w:cs="Calibri"/>
        </w:rPr>
        <w:footnoteRef/>
      </w:r>
      <w:r w:rsidRPr="0087228B">
        <w:rPr>
          <w:rFonts w:asciiTheme="minorHAnsi" w:hAnsiTheme="minorHAnsi"/>
        </w:rPr>
        <w:t xml:space="preserve"> </w:t>
      </w:r>
      <w:r w:rsidRPr="0087228B">
        <w:rPr>
          <w:rFonts w:asciiTheme="minorHAnsi" w:hAnsiTheme="minorHAnsi" w:cs="Calibri"/>
          <w:lang w:val="pl-PL"/>
        </w:rPr>
        <w:t xml:space="preserve">Tačkom 34 RAG-a propisano je da nematerijalna imovina koja je prihvatljiva za izračunavanje troškova ulaganja mora ostati povezana s dotičnim potpomognutim područjem i da se ne smije prenijeti u druge regione. U tu svrhu nematerijalna imovina mora ispunjavati sljedeće uslove: </w:t>
      </w:r>
    </w:p>
    <w:p w14:paraId="56C163DC" w14:textId="77777777" w:rsidR="00B52467" w:rsidRPr="0087228B" w:rsidRDefault="00B52467" w:rsidP="00B52467">
      <w:pPr>
        <w:pStyle w:val="FootnoteText"/>
        <w:numPr>
          <w:ilvl w:val="0"/>
          <w:numId w:val="8"/>
        </w:numPr>
        <w:spacing w:before="0" w:after="0"/>
        <w:ind w:left="0" w:firstLine="0"/>
        <w:contextualSpacing/>
        <w:rPr>
          <w:rFonts w:asciiTheme="minorHAnsi" w:hAnsiTheme="minorHAnsi" w:cs="Calibri"/>
          <w:noProof/>
          <w:lang w:val="sr-Latn-ME"/>
        </w:rPr>
      </w:pPr>
      <w:r w:rsidRPr="0087228B">
        <w:rPr>
          <w:rFonts w:asciiTheme="minorHAnsi" w:hAnsiTheme="minorHAnsi" w:cs="Calibri"/>
          <w:noProof/>
          <w:lang w:val="sr-Latn-ME"/>
        </w:rPr>
        <w:t>mora se upotrebljavati isključivo u poslovnoj jedinici koja prima pomoć;</w:t>
      </w:r>
    </w:p>
    <w:p w14:paraId="5420CA2F" w14:textId="77777777" w:rsidR="00B52467" w:rsidRPr="0087228B" w:rsidRDefault="00B52467" w:rsidP="00B52467">
      <w:pPr>
        <w:pStyle w:val="FootnoteText"/>
        <w:numPr>
          <w:ilvl w:val="0"/>
          <w:numId w:val="8"/>
        </w:numPr>
        <w:spacing w:before="0" w:after="0"/>
        <w:ind w:left="0" w:firstLine="0"/>
        <w:contextualSpacing/>
        <w:rPr>
          <w:rFonts w:asciiTheme="minorHAnsi" w:hAnsiTheme="minorHAnsi" w:cs="Calibri"/>
          <w:noProof/>
          <w:lang w:val="sr-Latn-ME"/>
        </w:rPr>
      </w:pPr>
      <w:r w:rsidRPr="0087228B">
        <w:rPr>
          <w:rFonts w:asciiTheme="minorHAnsi" w:hAnsiTheme="minorHAnsi" w:cs="Calibri"/>
          <w:noProof/>
          <w:lang w:val="sr-Latn-ME"/>
        </w:rPr>
        <w:t>mora se amortizovati;</w:t>
      </w:r>
    </w:p>
    <w:p w14:paraId="08F95B86" w14:textId="77777777" w:rsidR="00B52467" w:rsidRPr="0087228B" w:rsidRDefault="00B52467" w:rsidP="00B52467">
      <w:pPr>
        <w:pStyle w:val="FootnoteText"/>
        <w:numPr>
          <w:ilvl w:val="0"/>
          <w:numId w:val="8"/>
        </w:numPr>
        <w:spacing w:before="0" w:after="0"/>
        <w:ind w:left="0" w:firstLine="0"/>
        <w:contextualSpacing/>
        <w:rPr>
          <w:rFonts w:asciiTheme="minorHAnsi" w:hAnsiTheme="minorHAnsi" w:cs="Calibri"/>
          <w:noProof/>
          <w:lang w:val="sr-Latn-ME"/>
        </w:rPr>
      </w:pPr>
      <w:r w:rsidRPr="0087228B">
        <w:rPr>
          <w:rFonts w:asciiTheme="minorHAnsi" w:hAnsiTheme="minorHAnsi" w:cs="Calibri"/>
          <w:noProof/>
          <w:lang w:val="sr-Latn-ME"/>
        </w:rPr>
        <w:t>mora biti kupljena po tržišnim uslovima od strane trećeg lica koje nije povezano sa kupcem;</w:t>
      </w:r>
    </w:p>
    <w:p w14:paraId="6138CD1D" w14:textId="77777777" w:rsidR="00B52467" w:rsidRPr="0087228B" w:rsidRDefault="00B52467" w:rsidP="00B52467">
      <w:pPr>
        <w:pStyle w:val="FootnoteText"/>
        <w:numPr>
          <w:ilvl w:val="0"/>
          <w:numId w:val="8"/>
        </w:numPr>
        <w:spacing w:before="0" w:after="0"/>
        <w:ind w:left="0" w:firstLine="0"/>
        <w:contextualSpacing/>
        <w:rPr>
          <w:rFonts w:asciiTheme="minorHAnsi" w:hAnsiTheme="minorHAnsi" w:cs="Calibri"/>
          <w:noProof/>
          <w:lang w:val="sr-Latn-ME"/>
        </w:rPr>
      </w:pPr>
      <w:r w:rsidRPr="0087228B">
        <w:rPr>
          <w:rFonts w:asciiTheme="minorHAnsi" w:hAnsiTheme="minorHAnsi" w:cs="Calibri"/>
          <w:noProof/>
          <w:lang w:val="sr-Latn-ME"/>
        </w:rPr>
        <w:t>mora biti uključena u imovinu privrednog društva koje prima pomoć i ostati povezana sa projektom za koji se dodjeljuje pomoć tokom najmanje pet godina odnosno tri godine u slučaju MSP-ova.</w:t>
      </w:r>
    </w:p>
  </w:footnote>
  <w:footnote w:id="20">
    <w:p w14:paraId="5B21BC88" w14:textId="77777777" w:rsidR="00B52467" w:rsidRPr="00013A6A" w:rsidRDefault="00B52467" w:rsidP="00B52467">
      <w:pPr>
        <w:pStyle w:val="FootnoteText"/>
        <w:spacing w:before="0" w:after="0"/>
        <w:ind w:left="0" w:firstLine="0"/>
        <w:contextualSpacing/>
        <w:rPr>
          <w:rFonts w:ascii="Calibri" w:hAnsi="Calibri" w:cs="Calibri"/>
          <w:noProof/>
          <w:lang w:val="sr-Latn-ME"/>
        </w:rPr>
      </w:pPr>
      <w:r w:rsidRPr="002D2BAD">
        <w:rPr>
          <w:rStyle w:val="FootnoteReference"/>
          <w:rFonts w:ascii="Calibri" w:hAnsi="Calibri" w:cs="Calibri"/>
        </w:rPr>
        <w:footnoteRef/>
      </w:r>
      <w:r>
        <w:t xml:space="preserve"> </w:t>
      </w:r>
      <w:r w:rsidRPr="004B7925">
        <w:rPr>
          <w:rFonts w:ascii="Calibri" w:hAnsi="Calibri" w:cs="Calibri"/>
          <w:noProof/>
          <w:lang w:val="sr-Latn-ME"/>
        </w:rPr>
        <w:t xml:space="preserve">Ovo pitanje se ne odnosi na subvencionisane kredite, zajmove za povećanje osnovnog kapitala ili učešće u kapitalu od strane države koji ne ispunjavaju princip ulaganja pod uslovima </w:t>
      </w:r>
      <w:r>
        <w:rPr>
          <w:rFonts w:ascii="Calibri" w:hAnsi="Calibri" w:cs="Calibri"/>
          <w:noProof/>
          <w:lang w:val="sr-Latn-ME"/>
        </w:rPr>
        <w:t>tržišne ekonomije</w:t>
      </w:r>
      <w:r w:rsidRPr="004B7925">
        <w:rPr>
          <w:rFonts w:ascii="Calibri" w:hAnsi="Calibri" w:cs="Calibri"/>
          <w:noProof/>
          <w:lang w:val="sr-Latn-ME"/>
        </w:rPr>
        <w:t xml:space="preserve">, državne garancije koje sadrže elemente pomoći ili javnu pomoć koja se dodjeljuje u okviru primjene pravila za </w:t>
      </w:r>
      <w:r w:rsidRPr="004B7925">
        <w:rPr>
          <w:rFonts w:ascii="Calibri" w:hAnsi="Calibri" w:cs="Calibri"/>
          <w:i/>
          <w:noProof/>
          <w:lang w:val="sr-Latn-ME"/>
        </w:rPr>
        <w:t>de minimis</w:t>
      </w:r>
      <w:r w:rsidRPr="004B7925">
        <w:rPr>
          <w:rFonts w:ascii="Calibri" w:hAnsi="Calibri" w:cs="Calibri"/>
          <w:noProof/>
          <w:lang w:val="sr-Latn-ME"/>
        </w:rPr>
        <w:t xml:space="preserve"> pomoć.</w:t>
      </w:r>
    </w:p>
  </w:footnote>
  <w:footnote w:id="21">
    <w:p w14:paraId="384A95EF" w14:textId="77777777" w:rsidR="00B52467" w:rsidRPr="0087228B" w:rsidRDefault="00B52467" w:rsidP="00B52467">
      <w:pPr>
        <w:pStyle w:val="FootnoteText"/>
        <w:spacing w:before="0" w:after="0"/>
        <w:ind w:left="0" w:firstLine="0"/>
        <w:contextualSpacing/>
        <w:rPr>
          <w:rFonts w:asciiTheme="minorHAnsi" w:hAnsiTheme="minorHAnsi" w:cs="Calibri"/>
          <w:noProof/>
          <w:lang w:val="sr-Latn-ME"/>
        </w:rPr>
      </w:pPr>
      <w:r w:rsidRPr="0087228B">
        <w:rPr>
          <w:rStyle w:val="FootnoteReference"/>
          <w:rFonts w:asciiTheme="minorHAnsi" w:hAnsiTheme="minorHAnsi" w:cs="Calibri"/>
        </w:rPr>
        <w:footnoteRef/>
      </w:r>
      <w:r w:rsidRPr="0087228B">
        <w:rPr>
          <w:rFonts w:asciiTheme="minorHAnsi" w:hAnsiTheme="minorHAnsi" w:cs="Calibri"/>
        </w:rPr>
        <w:t xml:space="preserve"> </w:t>
      </w:r>
      <w:r w:rsidRPr="0087228B">
        <w:rPr>
          <w:rFonts w:asciiTheme="minorHAnsi" w:hAnsiTheme="minorHAnsi" w:cs="Calibri"/>
          <w:noProof/>
          <w:lang w:val="sr-Latn-ME"/>
        </w:rPr>
        <w:t xml:space="preserve">U tu svrhu se može, između ostalog, navesti i upućivanje na ocjene efekata predložene šeme ili </w:t>
      </w:r>
      <w:r w:rsidRPr="0087228B">
        <w:rPr>
          <w:rFonts w:asciiTheme="minorHAnsi" w:hAnsiTheme="minorHAnsi" w:cs="Calibri"/>
          <w:i/>
          <w:noProof/>
          <w:lang w:val="sr-Latn-ME"/>
        </w:rPr>
        <w:t>ex post</w:t>
      </w:r>
      <w:r w:rsidRPr="0087228B">
        <w:rPr>
          <w:rFonts w:asciiTheme="minorHAnsi" w:hAnsiTheme="minorHAnsi" w:cs="Calibri"/>
          <w:noProof/>
          <w:lang w:val="sr-Latn-ME"/>
        </w:rPr>
        <w:t xml:space="preserve"> evaluacije sličnih šema.</w:t>
      </w:r>
    </w:p>
  </w:footnote>
  <w:footnote w:id="22">
    <w:p w14:paraId="2066B437" w14:textId="77777777" w:rsidR="00B52467" w:rsidRPr="0087228B" w:rsidRDefault="00B52467" w:rsidP="00B52467">
      <w:pPr>
        <w:pStyle w:val="FootnoteText"/>
        <w:spacing w:before="0" w:after="0"/>
        <w:ind w:left="0" w:firstLine="0"/>
        <w:contextualSpacing/>
        <w:rPr>
          <w:rFonts w:asciiTheme="minorHAnsi" w:hAnsiTheme="minorHAnsi" w:cs="Calibri"/>
          <w:noProof/>
          <w:lang w:val="sr-Latn-ME"/>
        </w:rPr>
      </w:pPr>
      <w:r w:rsidRPr="0087228B">
        <w:rPr>
          <w:rStyle w:val="FootnoteReference"/>
          <w:rFonts w:asciiTheme="minorHAnsi" w:hAnsiTheme="minorHAnsi"/>
        </w:rPr>
        <w:footnoteRef/>
      </w:r>
      <w:r w:rsidRPr="0087228B">
        <w:rPr>
          <w:rFonts w:asciiTheme="minorHAnsi" w:hAnsiTheme="minorHAnsi"/>
        </w:rPr>
        <w:t xml:space="preserve"> </w:t>
      </w:r>
      <w:r w:rsidRPr="0087228B">
        <w:rPr>
          <w:rFonts w:asciiTheme="minorHAnsi" w:hAnsiTheme="minorHAnsi" w:cs="Calibri"/>
          <w:noProof/>
          <w:lang w:val="sr-Latn-ME"/>
        </w:rPr>
        <w:t>Na primjer, direktne subvencije, oslobađenja od ili smanjenja poreza, doprinosa za socijalno osiguranje ili drugih obaveznih davanja ili njihovo smanjenje, stavljanje na raspolaganje zemljišta, robe ili usluga po povlašćenim cijenama itd.</w:t>
      </w:r>
    </w:p>
  </w:footnote>
  <w:footnote w:id="23">
    <w:p w14:paraId="1F1C52E9" w14:textId="77777777" w:rsidR="00B52467" w:rsidRPr="0087228B" w:rsidRDefault="00B52467" w:rsidP="00B52467">
      <w:pPr>
        <w:pStyle w:val="FootnoteText"/>
        <w:spacing w:before="0" w:after="0"/>
        <w:ind w:left="0" w:firstLine="0"/>
        <w:contextualSpacing/>
        <w:rPr>
          <w:rFonts w:asciiTheme="minorHAnsi" w:hAnsiTheme="minorHAnsi" w:cs="Calibri"/>
          <w:noProof/>
          <w:lang w:val="sr-Latn-ME"/>
        </w:rPr>
      </w:pPr>
      <w:r w:rsidRPr="0087228B">
        <w:rPr>
          <w:rStyle w:val="FootnoteReference"/>
          <w:rFonts w:asciiTheme="minorHAnsi" w:hAnsiTheme="minorHAnsi"/>
        </w:rPr>
        <w:footnoteRef/>
      </w:r>
      <w:r w:rsidRPr="0087228B">
        <w:rPr>
          <w:rFonts w:asciiTheme="minorHAnsi" w:hAnsiTheme="minorHAnsi"/>
        </w:rPr>
        <w:t xml:space="preserve"> </w:t>
      </w:r>
      <w:r w:rsidRPr="0087228B">
        <w:rPr>
          <w:rFonts w:asciiTheme="minorHAnsi" w:hAnsiTheme="minorHAnsi" w:cs="Calibri"/>
          <w:noProof/>
          <w:lang w:val="sr-Latn-ME"/>
        </w:rPr>
        <w:t>Na primjer zajmovi sa povoljnim kamatama ili subvencionisanim kamatama, državne garancije, kupovina udjela ili drugi oblici pružanja kapitala pod povoljnim uslovima.</w:t>
      </w:r>
    </w:p>
  </w:footnote>
  <w:footnote w:id="24">
    <w:p w14:paraId="1CA57F93" w14:textId="77777777" w:rsidR="00B52467" w:rsidRPr="005471B0" w:rsidRDefault="00B52467" w:rsidP="00B52467">
      <w:pPr>
        <w:pStyle w:val="FootnoteText"/>
        <w:spacing w:before="0" w:after="0"/>
        <w:ind w:left="0" w:firstLine="0"/>
        <w:contextualSpacing/>
        <w:rPr>
          <w:rFonts w:ascii="Calibri" w:hAnsi="Calibri" w:cs="Calibri"/>
          <w:lang w:val="sr-Latn-ME"/>
        </w:rPr>
      </w:pPr>
      <w:r w:rsidRPr="005471B0">
        <w:rPr>
          <w:rStyle w:val="FootnoteReference"/>
          <w:rFonts w:ascii="Calibri" w:hAnsi="Calibri" w:cs="Calibri"/>
        </w:rPr>
        <w:footnoteRef/>
      </w:r>
      <w:r w:rsidRPr="005471B0">
        <w:rPr>
          <w:rFonts w:ascii="Calibri" w:hAnsi="Calibri" w:cs="Calibri"/>
        </w:rPr>
        <w:t xml:space="preserve"> </w:t>
      </w:r>
      <w:r w:rsidRPr="005471B0">
        <w:rPr>
          <w:rFonts w:ascii="Calibri" w:hAnsi="Calibri" w:cs="Calibri"/>
          <w:noProof/>
          <w:lang w:val="sr-Latn-ME"/>
        </w:rPr>
        <w:t>Alternativni scenario je vjerodostojan ako je autentičan i ako je povezan sa faktorima koji utiču na odlučivanje i koji prevladavaju u trenutku u kojem korisnik donosi odluku o ulaganju.</w:t>
      </w:r>
    </w:p>
  </w:footnote>
  <w:footnote w:id="25">
    <w:p w14:paraId="141BF675" w14:textId="77777777" w:rsidR="00B52467" w:rsidRPr="00795849" w:rsidRDefault="00B52467" w:rsidP="00B52467">
      <w:pPr>
        <w:pStyle w:val="FootnoteText"/>
        <w:spacing w:before="0" w:after="0"/>
        <w:ind w:left="0" w:firstLine="0"/>
        <w:contextualSpacing/>
        <w:rPr>
          <w:rFonts w:ascii="Calibri" w:hAnsi="Calibri" w:cs="Calibri"/>
          <w:noProof/>
          <w:lang w:val="sr-Latn-ME"/>
        </w:rPr>
      </w:pPr>
      <w:r w:rsidRPr="005471B0">
        <w:rPr>
          <w:rStyle w:val="FootnoteReference"/>
          <w:rFonts w:ascii="Calibri" w:hAnsi="Calibri" w:cs="Calibri"/>
        </w:rPr>
        <w:footnoteRef/>
      </w:r>
      <w:r w:rsidRPr="005471B0">
        <w:rPr>
          <w:rFonts w:ascii="Calibri" w:hAnsi="Calibri" w:cs="Calibri"/>
        </w:rPr>
        <w:t xml:space="preserve"> </w:t>
      </w:r>
      <w:r w:rsidRPr="005471B0">
        <w:rPr>
          <w:rFonts w:ascii="Calibri" w:hAnsi="Calibri" w:cs="Calibri"/>
          <w:noProof/>
          <w:lang w:val="sr-Latn-ME"/>
        </w:rPr>
        <w:t>Kako bi Komisija mogla ocijeniti vjerovatne negativne efekte, država članica može dostaviti bilo koju procjenu uticaja koju ima na raspolaganju i naknadne (</w:t>
      </w:r>
      <w:r w:rsidRPr="005471B0">
        <w:rPr>
          <w:rFonts w:ascii="Calibri" w:hAnsi="Calibri" w:cs="Calibri"/>
          <w:i/>
          <w:noProof/>
          <w:lang w:val="sr-Latn-ME"/>
        </w:rPr>
        <w:t>ex post</w:t>
      </w:r>
      <w:r w:rsidRPr="005471B0">
        <w:rPr>
          <w:rFonts w:ascii="Calibri" w:hAnsi="Calibri" w:cs="Calibri"/>
          <w:noProof/>
          <w:lang w:val="sr-Latn-ME"/>
        </w:rPr>
        <w:t>) evaluacije sličnih prethodnih šema</w:t>
      </w:r>
      <w:r>
        <w:rPr>
          <w:rFonts w:ascii="Calibri" w:hAnsi="Calibri" w:cs="Calibri"/>
          <w:noProof/>
          <w:lang w:val="sr-Latn-ME"/>
        </w:rPr>
        <w:t>.</w:t>
      </w:r>
    </w:p>
  </w:footnote>
  <w:footnote w:id="26">
    <w:p w14:paraId="0FCAA7FF" w14:textId="77777777" w:rsidR="00B52467" w:rsidRPr="006F4606" w:rsidRDefault="00B52467" w:rsidP="00B52467">
      <w:pPr>
        <w:pStyle w:val="FootnoteText"/>
        <w:ind w:left="0" w:firstLine="0"/>
        <w:contextualSpacing/>
        <w:rPr>
          <w:lang w:val="sr-Latn-ME"/>
        </w:rPr>
      </w:pPr>
      <w:r w:rsidRPr="00A948FB">
        <w:rPr>
          <w:rStyle w:val="FootnoteReference"/>
          <w:rFonts w:ascii="Calibri" w:hAnsi="Calibri" w:cs="Calibri"/>
        </w:rPr>
        <w:footnoteRef/>
      </w:r>
      <w:r>
        <w:rPr>
          <w:lang w:val="sr-Latn-ME"/>
        </w:rPr>
        <w:t xml:space="preserve"> </w:t>
      </w:r>
      <w:r w:rsidRPr="00A948FB">
        <w:rPr>
          <w:rFonts w:ascii="Calibri" w:hAnsi="Calibri" w:cs="Calibri"/>
          <w:noProof/>
          <w:lang w:val="sr-Latn-ME"/>
        </w:rPr>
        <w:t xml:space="preserve">Kako je definisano u Prilogu III </w:t>
      </w:r>
      <w:r>
        <w:rPr>
          <w:rFonts w:ascii="Calibri" w:hAnsi="Calibri" w:cs="Calibri"/>
          <w:noProof/>
          <w:lang w:val="sr-Latn-ME"/>
        </w:rPr>
        <w:t>Regulative</w:t>
      </w:r>
      <w:r w:rsidRPr="00A948FB">
        <w:rPr>
          <w:rFonts w:ascii="Calibri" w:hAnsi="Calibri" w:cs="Calibri"/>
          <w:noProof/>
          <w:lang w:val="sr-Latn-ME"/>
        </w:rPr>
        <w:t xml:space="preserve"> Komisije (EU) br. 651/2014 od 17. juna 2014. o ocjenjivanju određenih kategorija pomoći usklađenim sa unutrašnjim tržištem primjenom članova 107. i 108. Ugovora.</w:t>
      </w:r>
    </w:p>
  </w:footnote>
  <w:footnote w:id="27">
    <w:p w14:paraId="6C9B8BAB" w14:textId="77777777" w:rsidR="00B52467" w:rsidRPr="00795849" w:rsidRDefault="00B52467" w:rsidP="00B52467">
      <w:pPr>
        <w:pStyle w:val="FootnoteText"/>
        <w:ind w:left="0" w:firstLine="0"/>
        <w:contextualSpacing/>
        <w:rPr>
          <w:lang w:val="sr-Latn-ME"/>
        </w:rPr>
      </w:pPr>
      <w:r w:rsidRPr="00A948FB">
        <w:rPr>
          <w:rStyle w:val="FootnoteReference"/>
          <w:rFonts w:ascii="Calibri" w:hAnsi="Calibri" w:cs="Calibri"/>
        </w:rPr>
        <w:footnoteRef/>
      </w:r>
      <w:r w:rsidRPr="00A948FB">
        <w:rPr>
          <w:rFonts w:ascii="Calibri" w:hAnsi="Calibri" w:cs="Calibri"/>
          <w:lang w:val="sr-Latn-ME"/>
        </w:rPr>
        <w:t xml:space="preserve"> </w:t>
      </w:r>
      <w:r w:rsidRPr="00A948FB">
        <w:rPr>
          <w:rFonts w:ascii="Calibri" w:hAnsi="Calibri" w:cs="Calibri"/>
          <w:noProof/>
          <w:lang w:val="sr-Latn-ME"/>
        </w:rPr>
        <w:t>Ka</w:t>
      </w:r>
      <w:r>
        <w:rPr>
          <w:rFonts w:ascii="Calibri" w:hAnsi="Calibri" w:cs="Calibri"/>
          <w:noProof/>
          <w:lang w:val="sr-Latn-ME"/>
        </w:rPr>
        <w:t xml:space="preserve">ko je definisano u Prilogu III Regulative </w:t>
      </w:r>
      <w:r w:rsidRPr="00A948FB">
        <w:rPr>
          <w:rFonts w:ascii="Calibri" w:hAnsi="Calibri" w:cs="Calibri"/>
          <w:noProof/>
          <w:lang w:val="sr-Latn-ME"/>
        </w:rPr>
        <w:t>Komisije (EU) br. 651/2014 od 17. juna 2014. o ocjenjivanju određenih kategorija pomoći usklađenim sa unutrašnjim tržištem primjenom članova 107. i 108. Ugovora.</w:t>
      </w:r>
    </w:p>
  </w:footnote>
  <w:footnote w:id="28">
    <w:p w14:paraId="264A1B81" w14:textId="77777777" w:rsidR="00B52467" w:rsidRPr="00337F55" w:rsidRDefault="00B52467" w:rsidP="00B52467">
      <w:pPr>
        <w:pStyle w:val="FootnoteText"/>
        <w:ind w:left="0" w:firstLine="0"/>
        <w:rPr>
          <w:rFonts w:ascii="Calibri" w:hAnsi="Calibri" w:cs="Calibri"/>
          <w:lang w:val="sr-Latn-ME"/>
        </w:rPr>
      </w:pPr>
      <w:r w:rsidRPr="00337F55">
        <w:rPr>
          <w:rStyle w:val="FootnoteReference"/>
          <w:rFonts w:ascii="Calibri" w:hAnsi="Calibri" w:cs="Calibri"/>
        </w:rPr>
        <w:footnoteRef/>
      </w:r>
      <w:r>
        <w:rPr>
          <w:rFonts w:ascii="Calibri" w:hAnsi="Calibri" w:cs="Calibri"/>
          <w:lang w:val="sr-Latn-ME"/>
        </w:rPr>
        <w:t xml:space="preserve"> </w:t>
      </w:r>
      <w:r>
        <w:rPr>
          <w:rFonts w:ascii="Calibri" w:hAnsi="Calibri" w:cs="Calibri"/>
          <w:lang w:val="sr-Latn-ME"/>
        </w:rPr>
        <w:t xml:space="preserve">Za uputstvo pogledajte metodološke smjernice za evaluaciju u oblasti državne pomoći: </w:t>
      </w:r>
      <w:hyperlink r:id="rId3" w:history="1">
        <w:r>
          <w:rPr>
            <w:rStyle w:val="Hyperlink"/>
          </w:rPr>
          <w:t>https://competition-policy.ec.europa.eu/system/files/2021-04/modernisation_evaluation_methodology_en.pdf</w:t>
        </w:r>
      </w:hyperlink>
      <w:r>
        <w:t xml:space="preserve">.  </w:t>
      </w:r>
      <w:r>
        <w:rPr>
          <w:rFonts w:ascii="Calibri" w:hAnsi="Calibri" w:cs="Calibri"/>
          <w:lang w:val="sr-Latn-ME"/>
        </w:rPr>
        <w:t xml:space="preserve">Plan evaluacije (Prilog I – Dio III.8) dostavlja se u obrascu koji je dostupan na: </w:t>
      </w:r>
      <w:hyperlink r:id="rId4" w:history="1">
        <w:r>
          <w:rPr>
            <w:rStyle w:val="Hyperlink"/>
          </w:rPr>
          <w:t>https://competition-policy.ec.europa.eu/state-aid/legislation/forms-notifications-and-reporting_en</w:t>
        </w:r>
      </w:hyperlink>
      <w:r>
        <w:t xml:space="preserve">   </w:t>
      </w:r>
    </w:p>
    <w:p w14:paraId="040DEB6C" w14:textId="77777777" w:rsidR="00B52467" w:rsidRPr="00337F55" w:rsidRDefault="00B52467" w:rsidP="00B52467">
      <w:pPr>
        <w:pStyle w:val="FootnoteText"/>
        <w:rPr>
          <w:rFonts w:ascii="Calibri" w:hAnsi="Calibri" w:cs="Calibri"/>
          <w:lang w:val="sr-Latn-M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A7F65"/>
    <w:multiLevelType w:val="multilevel"/>
    <w:tmpl w:val="47501796"/>
    <w:lvl w:ilvl="0">
      <w:start w:val="3"/>
      <w:numFmt w:val="decimal"/>
      <w:lvlText w:val="%1."/>
      <w:lvlJc w:val="left"/>
      <w:pPr>
        <w:ind w:left="540" w:hanging="540"/>
      </w:pPr>
      <w:rPr>
        <w:rFonts w:hint="default"/>
      </w:rPr>
    </w:lvl>
    <w:lvl w:ilvl="1">
      <w:start w:val="4"/>
      <w:numFmt w:val="decimal"/>
      <w:lvlText w:val="%1.%2."/>
      <w:lvlJc w:val="left"/>
      <w:pPr>
        <w:ind w:left="1080" w:hanging="540"/>
      </w:pPr>
      <w:rPr>
        <w:rFonts w:hint="default"/>
      </w:rPr>
    </w:lvl>
    <w:lvl w:ilvl="2">
      <w:start w:val="1"/>
      <w:numFmt w:val="decimal"/>
      <w:lvlText w:val="%1.%2.%3."/>
      <w:lvlJc w:val="left"/>
      <w:pPr>
        <w:ind w:left="1800" w:hanging="720"/>
      </w:pPr>
      <w:rPr>
        <w:rFonts w:hint="default"/>
        <w:b/>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15:restartNumberingAfterBreak="0">
    <w:nsid w:val="109F54F4"/>
    <w:multiLevelType w:val="multilevel"/>
    <w:tmpl w:val="72886AE8"/>
    <w:lvl w:ilvl="0">
      <w:start w:val="1"/>
      <w:numFmt w:val="decimal"/>
      <w:lvlText w:val="%1."/>
      <w:lvlJc w:val="left"/>
      <w:pPr>
        <w:ind w:left="360" w:hanging="360"/>
      </w:pPr>
      <w:rPr>
        <w:rFonts w:hint="default"/>
      </w:rPr>
    </w:lvl>
    <w:lvl w:ilvl="1">
      <w:start w:val="1"/>
      <w:numFmt w:val="decimal"/>
      <w:lvlText w:val="1.%2."/>
      <w:lvlJc w:val="left"/>
      <w:pPr>
        <w:tabs>
          <w:tab w:val="num" w:pos="360"/>
        </w:tabs>
        <w:ind w:left="792" w:hanging="432"/>
      </w:pPr>
      <w:rPr>
        <w:rFonts w:hint="default"/>
        <w:b/>
        <w:color w:val="auto"/>
      </w:rPr>
    </w:lvl>
    <w:lvl w:ilvl="2">
      <w:start w:val="1"/>
      <w:numFmt w:val="decimal"/>
      <w:lvlText w:val="1.%2.%3."/>
      <w:lvlJc w:val="left"/>
      <w:pPr>
        <w:ind w:left="1224" w:hanging="504"/>
      </w:pPr>
      <w:rPr>
        <w:rFonts w:hint="default"/>
        <w:b/>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62C4A5B"/>
    <w:multiLevelType w:val="multilevel"/>
    <w:tmpl w:val="3550B8E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2.%3."/>
      <w:lvlJc w:val="left"/>
      <w:pPr>
        <w:ind w:left="1224" w:hanging="504"/>
      </w:pPr>
      <w:rPr>
        <w:rFonts w:hint="default"/>
        <w:b/>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23B6BFA"/>
    <w:multiLevelType w:val="multilevel"/>
    <w:tmpl w:val="AD4A973C"/>
    <w:lvl w:ilvl="0">
      <w:start w:val="1"/>
      <w:numFmt w:val="decimal"/>
      <w:lvlText w:val="%1."/>
      <w:lvlJc w:val="left"/>
      <w:pPr>
        <w:tabs>
          <w:tab w:val="num" w:pos="360"/>
        </w:tabs>
        <w:ind w:left="360" w:hanging="360"/>
      </w:pPr>
      <w:rPr>
        <w:rFonts w:hint="default"/>
      </w:rPr>
    </w:lvl>
    <w:lvl w:ilvl="1">
      <w:start w:val="1"/>
      <w:numFmt w:val="decimal"/>
      <w:lvlText w:val="2.%2."/>
      <w:lvlJc w:val="left"/>
      <w:pPr>
        <w:ind w:left="792" w:hanging="432"/>
      </w:pPr>
      <w:rPr>
        <w:rFonts w:hint="default"/>
        <w:b w:val="0"/>
        <w:color w:val="auto"/>
      </w:rPr>
    </w:lvl>
    <w:lvl w:ilvl="2">
      <w:start w:val="1"/>
      <w:numFmt w:val="decimal"/>
      <w:lvlText w:val="3.%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9F30520"/>
    <w:multiLevelType w:val="hybridMultilevel"/>
    <w:tmpl w:val="7846848E"/>
    <w:lvl w:ilvl="0" w:tplc="6A58108A">
      <w:start w:val="1"/>
      <w:numFmt w:val="bullet"/>
      <w:lvlText w:val=""/>
      <w:lvlJc w:val="left"/>
      <w:pPr>
        <w:ind w:left="2160" w:hanging="360"/>
      </w:pPr>
      <w:rPr>
        <w:rFonts w:ascii="Symbol" w:hAnsi="Symbol" w:hint="default"/>
      </w:rPr>
    </w:lvl>
    <w:lvl w:ilvl="1" w:tplc="08090019" w:tentative="1">
      <w:start w:val="1"/>
      <w:numFmt w:val="bullet"/>
      <w:lvlText w:val="o"/>
      <w:lvlJc w:val="left"/>
      <w:pPr>
        <w:ind w:left="2880" w:hanging="360"/>
      </w:pPr>
      <w:rPr>
        <w:rFonts w:ascii="Courier New" w:hAnsi="Courier New" w:cs="Courier New" w:hint="default"/>
      </w:rPr>
    </w:lvl>
    <w:lvl w:ilvl="2" w:tplc="0809001B" w:tentative="1">
      <w:start w:val="1"/>
      <w:numFmt w:val="bullet"/>
      <w:lvlText w:val=""/>
      <w:lvlJc w:val="left"/>
      <w:pPr>
        <w:ind w:left="3600" w:hanging="360"/>
      </w:pPr>
      <w:rPr>
        <w:rFonts w:ascii="Wingdings" w:hAnsi="Wingdings" w:hint="default"/>
      </w:rPr>
    </w:lvl>
    <w:lvl w:ilvl="3" w:tplc="0809000F" w:tentative="1">
      <w:start w:val="1"/>
      <w:numFmt w:val="bullet"/>
      <w:lvlText w:val=""/>
      <w:lvlJc w:val="left"/>
      <w:pPr>
        <w:ind w:left="4320" w:hanging="360"/>
      </w:pPr>
      <w:rPr>
        <w:rFonts w:ascii="Symbol" w:hAnsi="Symbol" w:hint="default"/>
      </w:rPr>
    </w:lvl>
    <w:lvl w:ilvl="4" w:tplc="08090019" w:tentative="1">
      <w:start w:val="1"/>
      <w:numFmt w:val="bullet"/>
      <w:lvlText w:val="o"/>
      <w:lvlJc w:val="left"/>
      <w:pPr>
        <w:ind w:left="5040" w:hanging="360"/>
      </w:pPr>
      <w:rPr>
        <w:rFonts w:ascii="Courier New" w:hAnsi="Courier New" w:cs="Courier New" w:hint="default"/>
      </w:rPr>
    </w:lvl>
    <w:lvl w:ilvl="5" w:tplc="0809001B" w:tentative="1">
      <w:start w:val="1"/>
      <w:numFmt w:val="bullet"/>
      <w:lvlText w:val=""/>
      <w:lvlJc w:val="left"/>
      <w:pPr>
        <w:ind w:left="5760" w:hanging="360"/>
      </w:pPr>
      <w:rPr>
        <w:rFonts w:ascii="Wingdings" w:hAnsi="Wingdings" w:hint="default"/>
      </w:rPr>
    </w:lvl>
    <w:lvl w:ilvl="6" w:tplc="0809000F" w:tentative="1">
      <w:start w:val="1"/>
      <w:numFmt w:val="bullet"/>
      <w:lvlText w:val=""/>
      <w:lvlJc w:val="left"/>
      <w:pPr>
        <w:ind w:left="6480" w:hanging="360"/>
      </w:pPr>
      <w:rPr>
        <w:rFonts w:ascii="Symbol" w:hAnsi="Symbol" w:hint="default"/>
      </w:rPr>
    </w:lvl>
    <w:lvl w:ilvl="7" w:tplc="08090019" w:tentative="1">
      <w:start w:val="1"/>
      <w:numFmt w:val="bullet"/>
      <w:lvlText w:val="o"/>
      <w:lvlJc w:val="left"/>
      <w:pPr>
        <w:ind w:left="7200" w:hanging="360"/>
      </w:pPr>
      <w:rPr>
        <w:rFonts w:ascii="Courier New" w:hAnsi="Courier New" w:cs="Courier New" w:hint="default"/>
      </w:rPr>
    </w:lvl>
    <w:lvl w:ilvl="8" w:tplc="0809001B" w:tentative="1">
      <w:start w:val="1"/>
      <w:numFmt w:val="bullet"/>
      <w:lvlText w:val=""/>
      <w:lvlJc w:val="left"/>
      <w:pPr>
        <w:ind w:left="7920" w:hanging="360"/>
      </w:pPr>
      <w:rPr>
        <w:rFonts w:ascii="Wingdings" w:hAnsi="Wingdings" w:hint="default"/>
      </w:rPr>
    </w:lvl>
  </w:abstractNum>
  <w:abstractNum w:abstractNumId="5" w15:restartNumberingAfterBreak="0">
    <w:nsid w:val="3E1C6E91"/>
    <w:multiLevelType w:val="multilevel"/>
    <w:tmpl w:val="F61423DE"/>
    <w:lvl w:ilvl="0">
      <w:start w:val="1"/>
      <w:numFmt w:val="decimal"/>
      <w:lvlText w:val="%1."/>
      <w:lvlJc w:val="left"/>
      <w:pPr>
        <w:tabs>
          <w:tab w:val="num" w:pos="1047"/>
        </w:tabs>
        <w:ind w:left="1047" w:hanging="480"/>
      </w:pPr>
      <w:rPr>
        <w:rFonts w:hint="default"/>
      </w:rPr>
    </w:lvl>
    <w:lvl w:ilvl="1">
      <w:start w:val="1"/>
      <w:numFmt w:val="decimal"/>
      <w:lvlText w:val="3.%2."/>
      <w:lvlJc w:val="left"/>
      <w:pPr>
        <w:tabs>
          <w:tab w:val="num" w:pos="360"/>
        </w:tabs>
        <w:ind w:left="1767" w:hanging="720"/>
      </w:pPr>
      <w:rPr>
        <w:rFonts w:hint="default"/>
      </w:rPr>
    </w:lvl>
    <w:lvl w:ilvl="2">
      <w:start w:val="1"/>
      <w:numFmt w:val="decimal"/>
      <w:lvlText w:val="3.%2.%3."/>
      <w:lvlJc w:val="left"/>
      <w:pPr>
        <w:tabs>
          <w:tab w:val="num" w:pos="2487"/>
        </w:tabs>
        <w:ind w:left="2487" w:hanging="720"/>
      </w:pPr>
      <w:rPr>
        <w:rFonts w:hint="default"/>
        <w:b/>
      </w:rPr>
    </w:lvl>
    <w:lvl w:ilvl="3">
      <w:start w:val="1"/>
      <w:numFmt w:val="decimal"/>
      <w:lvlText w:val="%1.%2.%3.%4."/>
      <w:lvlJc w:val="left"/>
      <w:pPr>
        <w:tabs>
          <w:tab w:val="num" w:pos="2487"/>
        </w:tabs>
        <w:ind w:left="2487" w:hanging="720"/>
      </w:pPr>
      <w:rPr>
        <w:rFonts w:hint="default"/>
      </w:rPr>
    </w:lvl>
    <w:lvl w:ilvl="4">
      <w:start w:val="1"/>
      <w:numFmt w:val="lowerLetter"/>
      <w:lvlText w:val="(%5)"/>
      <w:lvlJc w:val="left"/>
      <w:pPr>
        <w:tabs>
          <w:tab w:val="num" w:pos="-1440"/>
        </w:tabs>
        <w:ind w:left="567" w:hanging="567"/>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6" w15:restartNumberingAfterBreak="0">
    <w:nsid w:val="42783A8B"/>
    <w:multiLevelType w:val="multilevel"/>
    <w:tmpl w:val="917A8D44"/>
    <w:lvl w:ilvl="0">
      <w:start w:val="4"/>
      <w:numFmt w:val="decimal"/>
      <w:lvlText w:val="%1."/>
      <w:lvlJc w:val="left"/>
      <w:pPr>
        <w:ind w:left="360" w:hanging="360"/>
      </w:pPr>
      <w:rPr>
        <w:rFonts w:ascii="Calibri" w:hAnsi="Calibri" w:cs="Calibri" w:hint="default"/>
        <w:color w:val="auto"/>
        <w:sz w:val="22"/>
        <w:szCs w:val="22"/>
      </w:rPr>
    </w:lvl>
    <w:lvl w:ilvl="1">
      <w:start w:val="1"/>
      <w:numFmt w:val="decimal"/>
      <w:lvlText w:val="%1.%2."/>
      <w:lvlJc w:val="left"/>
      <w:pPr>
        <w:ind w:left="360" w:hanging="360"/>
      </w:pPr>
      <w:rPr>
        <w:rFonts w:ascii="Calibri" w:hAnsi="Calibri" w:cs="Calibri" w:hint="default"/>
        <w:b/>
        <w:color w:val="auto"/>
        <w:sz w:val="22"/>
        <w:szCs w:val="22"/>
      </w:rPr>
    </w:lvl>
    <w:lvl w:ilvl="2">
      <w:start w:val="1"/>
      <w:numFmt w:val="decimal"/>
      <w:lvlText w:val="%1.%2.%3."/>
      <w:lvlJc w:val="left"/>
      <w:pPr>
        <w:ind w:left="720" w:hanging="720"/>
      </w:pPr>
      <w:rPr>
        <w:rFonts w:ascii="Calibri" w:hAnsi="Calibri" w:cs="Calibri" w:hint="default"/>
        <w:b/>
        <w:color w:val="auto"/>
        <w:sz w:val="22"/>
        <w:szCs w:val="22"/>
      </w:rPr>
    </w:lvl>
    <w:lvl w:ilvl="3">
      <w:start w:val="1"/>
      <w:numFmt w:val="decimal"/>
      <w:lvlText w:val="%1.%2.%3.%4."/>
      <w:lvlJc w:val="left"/>
      <w:pPr>
        <w:ind w:left="720" w:hanging="720"/>
      </w:pPr>
      <w:rPr>
        <w:rFonts w:ascii="Times New Roman" w:hAnsi="Times New Roman" w:hint="default"/>
        <w:color w:val="auto"/>
        <w:sz w:val="24"/>
      </w:rPr>
    </w:lvl>
    <w:lvl w:ilvl="4">
      <w:start w:val="1"/>
      <w:numFmt w:val="decimal"/>
      <w:lvlText w:val="%1.%2.%3.%4.%5."/>
      <w:lvlJc w:val="left"/>
      <w:pPr>
        <w:ind w:left="1080" w:hanging="1080"/>
      </w:pPr>
      <w:rPr>
        <w:rFonts w:ascii="Times New Roman" w:hAnsi="Times New Roman" w:hint="default"/>
        <w:color w:val="auto"/>
        <w:sz w:val="24"/>
      </w:rPr>
    </w:lvl>
    <w:lvl w:ilvl="5">
      <w:start w:val="1"/>
      <w:numFmt w:val="decimal"/>
      <w:lvlText w:val="%1.%2.%3.%4.%5.%6."/>
      <w:lvlJc w:val="left"/>
      <w:pPr>
        <w:ind w:left="1080" w:hanging="1080"/>
      </w:pPr>
      <w:rPr>
        <w:rFonts w:ascii="Times New Roman" w:hAnsi="Times New Roman" w:hint="default"/>
        <w:color w:val="auto"/>
        <w:sz w:val="24"/>
      </w:rPr>
    </w:lvl>
    <w:lvl w:ilvl="6">
      <w:start w:val="1"/>
      <w:numFmt w:val="decimal"/>
      <w:lvlText w:val="%1.%2.%3.%4.%5.%6.%7."/>
      <w:lvlJc w:val="left"/>
      <w:pPr>
        <w:ind w:left="1440" w:hanging="1440"/>
      </w:pPr>
      <w:rPr>
        <w:rFonts w:ascii="Times New Roman" w:hAnsi="Times New Roman" w:hint="default"/>
        <w:color w:val="auto"/>
        <w:sz w:val="24"/>
      </w:rPr>
    </w:lvl>
    <w:lvl w:ilvl="7">
      <w:start w:val="1"/>
      <w:numFmt w:val="decimal"/>
      <w:lvlText w:val="%1.%2.%3.%4.%5.%6.%7.%8."/>
      <w:lvlJc w:val="left"/>
      <w:pPr>
        <w:ind w:left="1440" w:hanging="1440"/>
      </w:pPr>
      <w:rPr>
        <w:rFonts w:ascii="Times New Roman" w:hAnsi="Times New Roman" w:hint="default"/>
        <w:color w:val="auto"/>
        <w:sz w:val="24"/>
      </w:rPr>
    </w:lvl>
    <w:lvl w:ilvl="8">
      <w:start w:val="1"/>
      <w:numFmt w:val="decimal"/>
      <w:lvlText w:val="%1.%2.%3.%4.%5.%6.%7.%8.%9."/>
      <w:lvlJc w:val="left"/>
      <w:pPr>
        <w:ind w:left="1800" w:hanging="1800"/>
      </w:pPr>
      <w:rPr>
        <w:rFonts w:ascii="Times New Roman" w:hAnsi="Times New Roman" w:hint="default"/>
        <w:color w:val="auto"/>
        <w:sz w:val="24"/>
      </w:rPr>
    </w:lvl>
  </w:abstractNum>
  <w:abstractNum w:abstractNumId="7" w15:restartNumberingAfterBreak="0">
    <w:nsid w:val="571C1A30"/>
    <w:multiLevelType w:val="multilevel"/>
    <w:tmpl w:val="6734C618"/>
    <w:lvl w:ilvl="0">
      <w:start w:val="3"/>
      <w:numFmt w:val="decimal"/>
      <w:lvlText w:val="%1."/>
      <w:lvlJc w:val="left"/>
      <w:pPr>
        <w:ind w:left="504" w:hanging="504"/>
      </w:pPr>
      <w:rPr>
        <w:rFonts w:hint="default"/>
      </w:rPr>
    </w:lvl>
    <w:lvl w:ilvl="1">
      <w:start w:val="2"/>
      <w:numFmt w:val="decimal"/>
      <w:lvlText w:val="%1.%2."/>
      <w:lvlJc w:val="left"/>
      <w:pPr>
        <w:ind w:left="1387" w:hanging="504"/>
      </w:pPr>
      <w:rPr>
        <w:rFonts w:hint="default"/>
      </w:rPr>
    </w:lvl>
    <w:lvl w:ilvl="2">
      <w:start w:val="1"/>
      <w:numFmt w:val="decimal"/>
      <w:lvlText w:val="%1.%2.%3."/>
      <w:lvlJc w:val="left"/>
      <w:pPr>
        <w:ind w:left="2486" w:hanging="720"/>
      </w:pPr>
      <w:rPr>
        <w:rFonts w:hint="default"/>
        <w:b/>
      </w:rPr>
    </w:lvl>
    <w:lvl w:ilvl="3">
      <w:start w:val="1"/>
      <w:numFmt w:val="decimal"/>
      <w:lvlText w:val="%1.%2.%3.%4."/>
      <w:lvlJc w:val="left"/>
      <w:pPr>
        <w:ind w:left="3369" w:hanging="720"/>
      </w:pPr>
      <w:rPr>
        <w:rFonts w:hint="default"/>
      </w:rPr>
    </w:lvl>
    <w:lvl w:ilvl="4">
      <w:start w:val="1"/>
      <w:numFmt w:val="decimal"/>
      <w:lvlText w:val="%1.%2.%3.%4.%5."/>
      <w:lvlJc w:val="left"/>
      <w:pPr>
        <w:ind w:left="4612" w:hanging="1080"/>
      </w:pPr>
      <w:rPr>
        <w:rFonts w:hint="default"/>
      </w:rPr>
    </w:lvl>
    <w:lvl w:ilvl="5">
      <w:start w:val="1"/>
      <w:numFmt w:val="decimal"/>
      <w:lvlText w:val="%1.%2.%3.%4.%5.%6."/>
      <w:lvlJc w:val="left"/>
      <w:pPr>
        <w:ind w:left="5495" w:hanging="1080"/>
      </w:pPr>
      <w:rPr>
        <w:rFonts w:hint="default"/>
      </w:rPr>
    </w:lvl>
    <w:lvl w:ilvl="6">
      <w:start w:val="1"/>
      <w:numFmt w:val="decimal"/>
      <w:lvlText w:val="%1.%2.%3.%4.%5.%6.%7."/>
      <w:lvlJc w:val="left"/>
      <w:pPr>
        <w:ind w:left="6738" w:hanging="1440"/>
      </w:pPr>
      <w:rPr>
        <w:rFonts w:hint="default"/>
      </w:rPr>
    </w:lvl>
    <w:lvl w:ilvl="7">
      <w:start w:val="1"/>
      <w:numFmt w:val="decimal"/>
      <w:lvlText w:val="%1.%2.%3.%4.%5.%6.%7.%8."/>
      <w:lvlJc w:val="left"/>
      <w:pPr>
        <w:ind w:left="7621" w:hanging="1440"/>
      </w:pPr>
      <w:rPr>
        <w:rFonts w:hint="default"/>
      </w:rPr>
    </w:lvl>
    <w:lvl w:ilvl="8">
      <w:start w:val="1"/>
      <w:numFmt w:val="decimal"/>
      <w:lvlText w:val="%1.%2.%3.%4.%5.%6.%7.%8.%9."/>
      <w:lvlJc w:val="left"/>
      <w:pPr>
        <w:ind w:left="8864" w:hanging="1800"/>
      </w:pPr>
      <w:rPr>
        <w:rFonts w:hint="default"/>
      </w:rPr>
    </w:lvl>
  </w:abstractNum>
  <w:abstractNum w:abstractNumId="8" w15:restartNumberingAfterBreak="0">
    <w:nsid w:val="57D97695"/>
    <w:multiLevelType w:val="hybridMultilevel"/>
    <w:tmpl w:val="2554886E"/>
    <w:lvl w:ilvl="0" w:tplc="E31094AC">
      <w:start w:val="1"/>
      <w:numFmt w:val="bullet"/>
      <w:lvlText w:val=""/>
      <w:lvlJc w:val="left"/>
      <w:pPr>
        <w:ind w:left="1440" w:hanging="360"/>
      </w:pPr>
      <w:rPr>
        <w:rFonts w:ascii="Symbol" w:hAnsi="Symbol" w:hint="default"/>
      </w:rPr>
    </w:lvl>
    <w:lvl w:ilvl="1" w:tplc="08090019" w:tentative="1">
      <w:start w:val="1"/>
      <w:numFmt w:val="bullet"/>
      <w:lvlText w:val="o"/>
      <w:lvlJc w:val="left"/>
      <w:pPr>
        <w:ind w:left="2160" w:hanging="360"/>
      </w:pPr>
      <w:rPr>
        <w:rFonts w:ascii="Courier New" w:hAnsi="Courier New" w:cs="Courier New" w:hint="default"/>
      </w:rPr>
    </w:lvl>
    <w:lvl w:ilvl="2" w:tplc="0809001B" w:tentative="1">
      <w:start w:val="1"/>
      <w:numFmt w:val="bullet"/>
      <w:lvlText w:val=""/>
      <w:lvlJc w:val="left"/>
      <w:pPr>
        <w:ind w:left="2880" w:hanging="360"/>
      </w:pPr>
      <w:rPr>
        <w:rFonts w:ascii="Wingdings" w:hAnsi="Wingdings" w:hint="default"/>
      </w:rPr>
    </w:lvl>
    <w:lvl w:ilvl="3" w:tplc="0809000F" w:tentative="1">
      <w:start w:val="1"/>
      <w:numFmt w:val="bullet"/>
      <w:lvlText w:val=""/>
      <w:lvlJc w:val="left"/>
      <w:pPr>
        <w:ind w:left="3600" w:hanging="360"/>
      </w:pPr>
      <w:rPr>
        <w:rFonts w:ascii="Symbol" w:hAnsi="Symbol" w:hint="default"/>
      </w:rPr>
    </w:lvl>
    <w:lvl w:ilvl="4" w:tplc="08090019" w:tentative="1">
      <w:start w:val="1"/>
      <w:numFmt w:val="bullet"/>
      <w:lvlText w:val="o"/>
      <w:lvlJc w:val="left"/>
      <w:pPr>
        <w:ind w:left="4320" w:hanging="360"/>
      </w:pPr>
      <w:rPr>
        <w:rFonts w:ascii="Courier New" w:hAnsi="Courier New" w:cs="Courier New" w:hint="default"/>
      </w:rPr>
    </w:lvl>
    <w:lvl w:ilvl="5" w:tplc="0809001B" w:tentative="1">
      <w:start w:val="1"/>
      <w:numFmt w:val="bullet"/>
      <w:lvlText w:val=""/>
      <w:lvlJc w:val="left"/>
      <w:pPr>
        <w:ind w:left="5040" w:hanging="360"/>
      </w:pPr>
      <w:rPr>
        <w:rFonts w:ascii="Wingdings" w:hAnsi="Wingdings" w:hint="default"/>
      </w:rPr>
    </w:lvl>
    <w:lvl w:ilvl="6" w:tplc="0809000F" w:tentative="1">
      <w:start w:val="1"/>
      <w:numFmt w:val="bullet"/>
      <w:lvlText w:val=""/>
      <w:lvlJc w:val="left"/>
      <w:pPr>
        <w:ind w:left="5760" w:hanging="360"/>
      </w:pPr>
      <w:rPr>
        <w:rFonts w:ascii="Symbol" w:hAnsi="Symbol" w:hint="default"/>
      </w:rPr>
    </w:lvl>
    <w:lvl w:ilvl="7" w:tplc="08090019" w:tentative="1">
      <w:start w:val="1"/>
      <w:numFmt w:val="bullet"/>
      <w:lvlText w:val="o"/>
      <w:lvlJc w:val="left"/>
      <w:pPr>
        <w:ind w:left="6480" w:hanging="360"/>
      </w:pPr>
      <w:rPr>
        <w:rFonts w:ascii="Courier New" w:hAnsi="Courier New" w:cs="Courier New" w:hint="default"/>
      </w:rPr>
    </w:lvl>
    <w:lvl w:ilvl="8" w:tplc="0809001B" w:tentative="1">
      <w:start w:val="1"/>
      <w:numFmt w:val="bullet"/>
      <w:lvlText w:val=""/>
      <w:lvlJc w:val="left"/>
      <w:pPr>
        <w:ind w:left="7200" w:hanging="360"/>
      </w:pPr>
      <w:rPr>
        <w:rFonts w:ascii="Wingdings" w:hAnsi="Wingdings" w:hint="default"/>
      </w:rPr>
    </w:lvl>
  </w:abstractNum>
  <w:abstractNum w:abstractNumId="9" w15:restartNumberingAfterBreak="0">
    <w:nsid w:val="64D05DCE"/>
    <w:multiLevelType w:val="multilevel"/>
    <w:tmpl w:val="C3842250"/>
    <w:lvl w:ilvl="0">
      <w:start w:val="1"/>
      <w:numFmt w:val="decimal"/>
      <w:lvlText w:val="%1."/>
      <w:lvlJc w:val="left"/>
      <w:pPr>
        <w:tabs>
          <w:tab w:val="num" w:pos="1047"/>
        </w:tabs>
        <w:ind w:left="1047" w:hanging="480"/>
      </w:pPr>
      <w:rPr>
        <w:rFonts w:hint="default"/>
      </w:rPr>
    </w:lvl>
    <w:lvl w:ilvl="1">
      <w:start w:val="1"/>
      <w:numFmt w:val="decimal"/>
      <w:lvlText w:val="3.%2."/>
      <w:lvlJc w:val="left"/>
      <w:pPr>
        <w:tabs>
          <w:tab w:val="num" w:pos="1767"/>
        </w:tabs>
        <w:ind w:left="1767" w:hanging="720"/>
      </w:pPr>
      <w:rPr>
        <w:rFonts w:hint="default"/>
      </w:rPr>
    </w:lvl>
    <w:lvl w:ilvl="2">
      <w:start w:val="1"/>
      <w:numFmt w:val="decimal"/>
      <w:lvlText w:val="3.%2.%3."/>
      <w:lvlJc w:val="left"/>
      <w:pPr>
        <w:tabs>
          <w:tab w:val="num" w:pos="2487"/>
        </w:tabs>
        <w:ind w:left="2487" w:hanging="720"/>
      </w:pPr>
      <w:rPr>
        <w:rFonts w:hint="default"/>
        <w:b/>
      </w:rPr>
    </w:lvl>
    <w:lvl w:ilvl="3">
      <w:start w:val="1"/>
      <w:numFmt w:val="decimal"/>
      <w:lvlText w:val="%1.%2.%3.%4."/>
      <w:lvlJc w:val="left"/>
      <w:pPr>
        <w:tabs>
          <w:tab w:val="num" w:pos="2487"/>
        </w:tabs>
        <w:ind w:left="2487" w:hanging="72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10" w15:restartNumberingAfterBreak="0">
    <w:nsid w:val="6DB3461C"/>
    <w:multiLevelType w:val="hybridMultilevel"/>
    <w:tmpl w:val="EBA474EA"/>
    <w:lvl w:ilvl="0" w:tplc="98A0C3B8">
      <w:numFmt w:val="bullet"/>
      <w:lvlText w:val="-"/>
      <w:lvlJc w:val="left"/>
      <w:pPr>
        <w:ind w:left="720" w:hanging="360"/>
      </w:pPr>
      <w:rPr>
        <w:rFonts w:ascii="Calibri" w:eastAsia="Times New Roman"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76296C"/>
    <w:multiLevelType w:val="multilevel"/>
    <w:tmpl w:val="4746D0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Theme="minorHAnsi" w:hAnsiTheme="minorHAnsi" w:cstheme="minorHAnsi" w:hint="default"/>
        <w:b/>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2"/>
  </w:num>
  <w:num w:numId="4">
    <w:abstractNumId w:val="5"/>
  </w:num>
  <w:num w:numId="5">
    <w:abstractNumId w:val="9"/>
  </w:num>
  <w:num w:numId="6">
    <w:abstractNumId w:val="4"/>
  </w:num>
  <w:num w:numId="7">
    <w:abstractNumId w:val="7"/>
  </w:num>
  <w:num w:numId="8">
    <w:abstractNumId w:val="8"/>
  </w:num>
  <w:num w:numId="9">
    <w:abstractNumId w:val="10"/>
  </w:num>
  <w:num w:numId="10">
    <w:abstractNumId w:val="11"/>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1F6"/>
    <w:rsid w:val="001E27D7"/>
    <w:rsid w:val="003A61F6"/>
    <w:rsid w:val="008E39B9"/>
    <w:rsid w:val="00B52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8AF6D0-D2A0-4747-885D-F24A83EAB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24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B52467"/>
    <w:pPr>
      <w:spacing w:before="120" w:after="80" w:line="240" w:lineRule="auto"/>
      <w:ind w:left="720" w:hanging="720"/>
      <w:jc w:val="both"/>
    </w:pPr>
    <w:rPr>
      <w:rFonts w:ascii="Times New Roman" w:eastAsia="Calibri" w:hAnsi="Times New Roman" w:cs="Times New Roman"/>
      <w:sz w:val="20"/>
      <w:szCs w:val="20"/>
      <w:lang w:val="x-none" w:eastAsia="x-none"/>
    </w:rPr>
  </w:style>
  <w:style w:type="character" w:customStyle="1" w:styleId="FootnoteTextChar">
    <w:name w:val="Footnote Text Char"/>
    <w:basedOn w:val="DefaultParagraphFont"/>
    <w:link w:val="FootnoteText"/>
    <w:rsid w:val="00B52467"/>
    <w:rPr>
      <w:rFonts w:ascii="Times New Roman" w:eastAsia="Calibri" w:hAnsi="Times New Roman" w:cs="Times New Roman"/>
      <w:sz w:val="20"/>
      <w:szCs w:val="20"/>
      <w:lang w:val="x-none" w:eastAsia="x-none"/>
    </w:rPr>
  </w:style>
  <w:style w:type="paragraph" w:styleId="ListParagraph">
    <w:name w:val="List Paragraph"/>
    <w:aliases w:val="numbered list,2,OBC Bullet,Normal 1,Task Body,Viñetas (Inicio Parrafo),Paragrafo elenco,3 Txt tabla,Zerrenda-paragrafoa,Fiche List Paragraph,Dot pt,F5 List Paragraph,List Paragraph1,No Spacing1,List Paragraph Char Char Char,Indicator Text"/>
    <w:basedOn w:val="Normal"/>
    <w:link w:val="ListParagraphChar"/>
    <w:uiPriority w:val="34"/>
    <w:qFormat/>
    <w:rsid w:val="00B52467"/>
    <w:pPr>
      <w:spacing w:before="120" w:after="0" w:line="240" w:lineRule="auto"/>
      <w:ind w:left="720" w:hanging="720"/>
      <w:contextualSpacing/>
      <w:jc w:val="both"/>
    </w:pPr>
    <w:rPr>
      <w:rFonts w:ascii="Times New Roman" w:eastAsia="Calibri" w:hAnsi="Times New Roman" w:cs="Times New Roman"/>
      <w:sz w:val="24"/>
      <w:szCs w:val="20"/>
      <w:lang w:val="hr-HR" w:eastAsia="hr-HR" w:bidi="hr-HR"/>
    </w:rPr>
  </w:style>
  <w:style w:type="character" w:styleId="FootnoteReference">
    <w:name w:val="footnote reference"/>
    <w:aliases w:val="Footnote,Footnote symbol,Nota,Footnote number,de nota al pie,Ref,Char,SUPERS,Voetnootmarkering,Char1,fr,o,(NECG) Footnote Reference,Times 10 Point,Exposant 3 Point,Footnote Reference Number,Footnote reference number,FR, Char, Char1,F"/>
    <w:link w:val="SUPERSChar"/>
    <w:rsid w:val="00B52467"/>
    <w:rPr>
      <w:vertAlign w:val="superscript"/>
    </w:rPr>
  </w:style>
  <w:style w:type="paragraph" w:customStyle="1" w:styleId="SUPERSChar">
    <w:name w:val="SUPERS Char"/>
    <w:aliases w:val="EN Footnote Reference Char"/>
    <w:basedOn w:val="Normal"/>
    <w:link w:val="FootnoteReference"/>
    <w:rsid w:val="00B52467"/>
    <w:pPr>
      <w:spacing w:before="120" w:line="240" w:lineRule="exact"/>
      <w:ind w:left="720" w:hanging="720"/>
      <w:jc w:val="both"/>
    </w:pPr>
    <w:rPr>
      <w:vertAlign w:val="superscript"/>
    </w:rPr>
  </w:style>
  <w:style w:type="paragraph" w:customStyle="1" w:styleId="NormalKop111">
    <w:name w:val="Normal Kop 1.1.1"/>
    <w:basedOn w:val="Normal"/>
    <w:rsid w:val="00B52467"/>
    <w:pPr>
      <w:tabs>
        <w:tab w:val="left" w:pos="720"/>
        <w:tab w:val="left" w:pos="1440"/>
        <w:tab w:val="left" w:pos="1797"/>
      </w:tabs>
      <w:spacing w:before="240" w:after="120" w:line="240" w:lineRule="auto"/>
      <w:ind w:left="720"/>
      <w:jc w:val="both"/>
    </w:pPr>
    <w:rPr>
      <w:rFonts w:ascii="Times New Roman" w:eastAsia="Times New Roman" w:hAnsi="Times New Roman" w:cs="Arial Unicode MS"/>
      <w:sz w:val="24"/>
      <w:szCs w:val="24"/>
      <w:lang w:val="hr-HR" w:eastAsia="hr-HR" w:bidi="hr-HR"/>
    </w:rPr>
  </w:style>
  <w:style w:type="paragraph" w:customStyle="1" w:styleId="Normal127Indent127">
    <w:name w:val="Normal 127 Indent 127"/>
    <w:basedOn w:val="NormalKop111"/>
    <w:qFormat/>
    <w:rsid w:val="00B52467"/>
    <w:pPr>
      <w:spacing w:before="120"/>
    </w:pPr>
  </w:style>
  <w:style w:type="character" w:styleId="Hyperlink">
    <w:name w:val="Hyperlink"/>
    <w:uiPriority w:val="99"/>
    <w:rsid w:val="00B52467"/>
    <w:rPr>
      <w:color w:val="0000FF"/>
      <w:u w:val="single"/>
    </w:rPr>
  </w:style>
  <w:style w:type="paragraph" w:customStyle="1" w:styleId="Normal127">
    <w:name w:val="Normal 127"/>
    <w:basedOn w:val="NormalKop111"/>
    <w:qFormat/>
    <w:rsid w:val="00B52467"/>
  </w:style>
  <w:style w:type="character" w:customStyle="1" w:styleId="ListParagraphChar">
    <w:name w:val="List Paragraph Char"/>
    <w:aliases w:val="numbered list Char,2 Char,OBC Bullet Char,Normal 1 Char,Task Body Char,Viñetas (Inicio Parrafo) Char,Paragrafo elenco Char,3 Txt tabla Char,Zerrenda-paragrafoa Char,Fiche List Paragraph Char,Dot pt Char,F5 List Paragraph Char"/>
    <w:link w:val="ListParagraph"/>
    <w:uiPriority w:val="34"/>
    <w:qFormat/>
    <w:locked/>
    <w:rsid w:val="00B52467"/>
    <w:rPr>
      <w:rFonts w:ascii="Times New Roman" w:eastAsia="Calibri" w:hAnsi="Times New Roman" w:cs="Times New Roman"/>
      <w:sz w:val="24"/>
      <w:szCs w:val="20"/>
      <w:lang w:val="hr-HR" w:eastAsia="hr-HR" w:bidi="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competition-policy.ec.europa.eu/system/files/2021-04/modernisation_evaluation_methodology_en.pdf" TargetMode="External"/><Relationship Id="rId2" Type="http://schemas.openxmlformats.org/officeDocument/2006/relationships/hyperlink" Target="http://data.europa.eu/eli/reg/2023/2831/oj" TargetMode="External"/><Relationship Id="rId1" Type="http://schemas.openxmlformats.org/officeDocument/2006/relationships/hyperlink" Target="http://data.europa.eu/eli/reg/2014/651/oj" TargetMode="External"/><Relationship Id="rId4" Type="http://schemas.openxmlformats.org/officeDocument/2006/relationships/hyperlink" Target="https://competition-policy.ec.europa.eu/state-aid/legislation/forms-notifications-and-reporting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3600</Words>
  <Characters>20521</Characters>
  <Application>Microsoft Office Word</Application>
  <DocSecurity>0</DocSecurity>
  <Lines>171</Lines>
  <Paragraphs>48</Paragraphs>
  <ScaleCrop>false</ScaleCrop>
  <Company/>
  <LinksUpToDate>false</LinksUpToDate>
  <CharactersWithSpaces>24073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Ivovic</dc:creator>
  <cp:keywords/>
  <dc:description/>
  <cp:lastModifiedBy>Suzana Ivovic</cp:lastModifiedBy>
  <cp:revision>2</cp:revision>
  <dcterms:created xsi:type="dcterms:W3CDTF">2026-03-26T11:22:00Z</dcterms:created>
  <dcterms:modified xsi:type="dcterms:W3CDTF">2026-03-26T11:23:00Z</dcterms:modified>
</cp:coreProperties>
</file>