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B54BE" w14:textId="77777777" w:rsidR="004C5BF3" w:rsidRPr="0086255B" w:rsidRDefault="004C5BF3" w:rsidP="004C5BF3">
      <w:pPr>
        <w:spacing w:before="120" w:after="120"/>
        <w:jc w:val="both"/>
        <w:rPr>
          <w:rFonts w:cstheme="minorHAnsi"/>
          <w:b/>
          <w:lang w:val="hr-HR" w:eastAsia="hr-HR" w:bidi="hr-HR"/>
        </w:rPr>
      </w:pPr>
      <w:r w:rsidRPr="0086255B">
        <w:rPr>
          <w:rFonts w:cstheme="minorHAnsi"/>
          <w:b/>
          <w:lang w:val="hr-HR" w:eastAsia="hr-HR" w:bidi="hr-HR"/>
        </w:rPr>
        <w:t>Obrazac 4 - Obrazac o dodatnim podacima o pomoći za sanaciju i restrukturiranje privrednih društava u poteškoćama</w:t>
      </w:r>
    </w:p>
    <w:p w14:paraId="5CDEB1C6" w14:textId="77777777" w:rsidR="004C5BF3" w:rsidRPr="0086255B" w:rsidRDefault="004C5BF3" w:rsidP="004C5BF3">
      <w:pPr>
        <w:spacing w:before="120" w:after="120"/>
        <w:jc w:val="both"/>
        <w:rPr>
          <w:rFonts w:cstheme="minorHAnsi"/>
          <w:b/>
          <w:lang w:val="hr-HR" w:eastAsia="hr-HR" w:bidi="hr-HR"/>
        </w:rPr>
      </w:pPr>
      <w:r w:rsidRPr="0086255B">
        <w:rPr>
          <w:rFonts w:cstheme="minorHAnsi"/>
          <w:b/>
          <w:lang w:val="hr-HR" w:eastAsia="hr-HR" w:bidi="hr-HR"/>
        </w:rPr>
        <w:t>Obrazac 4a - Obrazac o dodatnim podacima o pomoći za sanaciju nefinansijskih privrednih društava u poteškoćama; individualna pomoć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4C5BF3" w:rsidRPr="0086255B" w14:paraId="2B28A984" w14:textId="77777777" w:rsidTr="00D507D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6656CDF9" w14:textId="77777777" w:rsidR="004C5BF3" w:rsidRPr="0086255B" w:rsidRDefault="004C5BF3" w:rsidP="00D507D9">
            <w:pPr>
              <w:keepNext/>
              <w:keepLines/>
              <w:spacing w:before="120" w:after="120"/>
              <w:jc w:val="both"/>
              <w:outlineLvl w:val="1"/>
              <w:rPr>
                <w:rFonts w:eastAsia="Times New Roman" w:cstheme="minorHAnsi"/>
                <w:b/>
                <w:bCs/>
                <w:lang w:val="hr-HR" w:eastAsia="hr-HR" w:bidi="hr-HR"/>
              </w:rPr>
            </w:pPr>
            <w:bookmarkStart w:id="0" w:name="_Toc414370359"/>
            <w:bookmarkStart w:id="1" w:name="_Toc416949011"/>
            <w:r w:rsidRPr="0086255B">
              <w:rPr>
                <w:rFonts w:eastAsia="Times New Roman" w:cstheme="minorHAnsi"/>
                <w:b/>
                <w:bCs/>
                <w:lang w:val="hr-HR" w:eastAsia="hr-HR" w:bidi="hr-HR"/>
              </w:rPr>
              <w:t xml:space="preserve">Dio III. 3.A – Obrazac o dodatnim podacima o pomoći za sanaciju nefinansijskih privrednih društava u poteškoćama; </w:t>
            </w:r>
            <w:bookmarkEnd w:id="0"/>
            <w:bookmarkEnd w:id="1"/>
            <w:r w:rsidRPr="0086255B">
              <w:rPr>
                <w:rFonts w:eastAsia="Times New Roman" w:cstheme="minorHAnsi"/>
                <w:b/>
                <w:bCs/>
                <w:lang w:val="hr-HR" w:eastAsia="hr-HR" w:bidi="hr-HR"/>
              </w:rPr>
              <w:t>individualna pomoć</w:t>
            </w:r>
          </w:p>
        </w:tc>
      </w:tr>
    </w:tbl>
    <w:p w14:paraId="51FC018C" w14:textId="77777777" w:rsidR="004C5BF3" w:rsidRPr="0086255B" w:rsidRDefault="004C5BF3" w:rsidP="004C5BF3">
      <w:pPr>
        <w:widowControl w:val="0"/>
        <w:spacing w:before="120" w:after="120"/>
        <w:jc w:val="both"/>
        <w:rPr>
          <w:rFonts w:cstheme="minorHAnsi"/>
          <w:i/>
          <w:iCs/>
          <w:lang w:val="hr-HR" w:eastAsia="hr-HR" w:bidi="hr-HR"/>
        </w:rPr>
      </w:pPr>
      <w:r w:rsidRPr="0086255B">
        <w:rPr>
          <w:rFonts w:cstheme="minorHAnsi"/>
          <w:i/>
          <w:iCs/>
          <w:lang w:val="hr-HR" w:eastAsia="hr-HR" w:bidi="hr-HR"/>
        </w:rPr>
        <w:t>Ovaj obrazac o dodatnim podacima mora se popuniti za prijavu individualne pomoći za sanaciju koja je obuhvaćena Smjernicama o državnoj pomoći za sanaciju i restrukturiranje nefinansijskih privrednih društava u poteškoćama</w:t>
      </w:r>
      <w:r w:rsidRPr="0086255B">
        <w:rPr>
          <w:rStyle w:val="FootnoteReference"/>
          <w:rFonts w:cstheme="minorHAnsi"/>
          <w:i/>
          <w:iCs/>
        </w:rPr>
        <w:footnoteReference w:id="1"/>
      </w:r>
      <w:r w:rsidRPr="0086255B">
        <w:rPr>
          <w:rFonts w:cstheme="minorHAnsi"/>
          <w:i/>
          <w:iCs/>
          <w:lang w:val="hr-HR" w:eastAsia="hr-HR" w:bidi="hr-HR"/>
        </w:rPr>
        <w:t xml:space="preserve"> („Smjernice”).</w:t>
      </w:r>
      <w:r w:rsidRPr="0086255B">
        <w:rPr>
          <w:rFonts w:cstheme="minorHAnsi"/>
          <w:b/>
          <w:bCs/>
          <w:i/>
          <w:iCs/>
          <w:shd w:val="clear" w:color="auto" w:fill="FFFFFF"/>
          <w:lang w:val="hr-HR" w:eastAsia="hr-HR" w:bidi="hr-HR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4C5BF3" w:rsidRPr="0086255B" w14:paraId="26EDCCEA" w14:textId="77777777" w:rsidTr="00D507D9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4BD43478" w14:textId="77777777" w:rsidR="004C5BF3" w:rsidRPr="0086255B" w:rsidRDefault="004C5BF3" w:rsidP="004C5BF3">
            <w:pPr>
              <w:keepNext/>
              <w:numPr>
                <w:ilvl w:val="0"/>
                <w:numId w:val="6"/>
              </w:numPr>
              <w:tabs>
                <w:tab w:val="left" w:pos="720"/>
                <w:tab w:val="left" w:pos="1077"/>
                <w:tab w:val="left" w:pos="1440"/>
                <w:tab w:val="left" w:pos="1797"/>
              </w:tabs>
              <w:spacing w:before="120" w:after="120" w:line="240" w:lineRule="auto"/>
              <w:ind w:left="0" w:firstLine="0"/>
              <w:jc w:val="both"/>
              <w:outlineLvl w:val="3"/>
              <w:rPr>
                <w:rFonts w:eastAsia="Times New Roman" w:cstheme="minorHAnsi"/>
                <w:b/>
                <w:bCs/>
                <w:iCs/>
                <w:lang w:val="hr-HR" w:eastAsia="hr-HR" w:bidi="hr-HR"/>
              </w:rPr>
            </w:pPr>
            <w:r w:rsidRPr="0086255B">
              <w:rPr>
                <w:rFonts w:eastAsia="Times New Roman" w:cstheme="minorHAnsi"/>
                <w:b/>
                <w:bCs/>
                <w:i/>
                <w:iCs/>
                <w:lang w:val="hr-HR" w:eastAsia="hr-HR" w:bidi="hr-HR"/>
              </w:rPr>
              <w:br w:type="page"/>
            </w:r>
            <w:r w:rsidRPr="0086255B">
              <w:rPr>
                <w:rFonts w:eastAsia="Times New Roman" w:cstheme="minorHAnsi"/>
                <w:b/>
                <w:bCs/>
                <w:i/>
                <w:iCs/>
                <w:lang w:val="hr-HR" w:eastAsia="hr-HR" w:bidi="hr-HR"/>
              </w:rPr>
              <w:br w:type="page"/>
            </w:r>
            <w:r w:rsidRPr="0086255B">
              <w:rPr>
                <w:rFonts w:eastAsia="Times New Roman" w:cstheme="minorHAnsi"/>
                <w:b/>
                <w:bCs/>
                <w:iCs/>
                <w:lang w:val="hr-HR" w:eastAsia="hr-HR" w:bidi="hr-HR"/>
              </w:rPr>
              <w:t>Prihvatljivost</w:t>
            </w:r>
          </w:p>
        </w:tc>
      </w:tr>
    </w:tbl>
    <w:p w14:paraId="0BDB0760" w14:textId="77777777" w:rsidR="004C5BF3" w:rsidRPr="0086255B" w:rsidRDefault="004C5BF3" w:rsidP="004C5BF3">
      <w:pPr>
        <w:numPr>
          <w:ilvl w:val="1"/>
          <w:numId w:val="1"/>
        </w:numPr>
        <w:spacing w:before="120" w:after="120" w:line="240" w:lineRule="auto"/>
        <w:ind w:left="0"/>
        <w:jc w:val="both"/>
        <w:rPr>
          <w:rFonts w:cstheme="minorHAnsi"/>
          <w:b/>
          <w:lang w:val="hr-HR" w:eastAsia="hr-HR" w:bidi="hr-HR"/>
        </w:rPr>
      </w:pPr>
      <w:r w:rsidRPr="0086255B">
        <w:rPr>
          <w:rFonts w:cstheme="minorHAnsi"/>
          <w:b/>
          <w:lang w:val="hr-HR" w:eastAsia="hr-HR" w:bidi="hr-HR"/>
        </w:rPr>
        <w:t xml:space="preserve">Privredno društvo u  poteškoćama </w:t>
      </w:r>
    </w:p>
    <w:p w14:paraId="6CB6A399" w14:textId="77777777" w:rsidR="004C5BF3" w:rsidRPr="0086255B" w:rsidRDefault="004C5BF3" w:rsidP="004C5BF3">
      <w:pPr>
        <w:numPr>
          <w:ilvl w:val="0"/>
          <w:numId w:val="2"/>
        </w:numPr>
        <w:tabs>
          <w:tab w:val="left" w:pos="720"/>
          <w:tab w:val="left" w:pos="1077"/>
          <w:tab w:val="left" w:pos="1440"/>
          <w:tab w:val="left" w:pos="1797"/>
        </w:tabs>
        <w:spacing w:before="120" w:after="120" w:line="240" w:lineRule="auto"/>
        <w:ind w:left="360"/>
        <w:jc w:val="both"/>
        <w:rPr>
          <w:rFonts w:cstheme="minorHAnsi"/>
          <w:shd w:val="clear" w:color="auto" w:fill="FFFFFF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>Da li je privredno društvo društvo s ograničenom odgovornošću</w:t>
      </w:r>
      <w:r w:rsidRPr="0086255B">
        <w:rPr>
          <w:rStyle w:val="FootnoteReference"/>
          <w:rFonts w:cstheme="minorHAnsi"/>
          <w:shd w:val="clear" w:color="auto" w:fill="FFFFFF"/>
        </w:rPr>
        <w:footnoteReference w:id="2"/>
      </w:r>
      <w:r w:rsidRPr="0086255B">
        <w:rPr>
          <w:rFonts w:cstheme="minorHAnsi"/>
          <w:shd w:val="clear" w:color="auto" w:fill="FFFFFF"/>
          <w:lang w:val="hr-HR" w:eastAsia="hr-HR" w:bidi="hr-HR"/>
        </w:rPr>
        <w:t>, a više od polovine njegovog upisanog osnovnog kapitala je izgubljeno kao rezultat akumuliranih gubitaka</w:t>
      </w:r>
      <w:r w:rsidRPr="0086255B">
        <w:rPr>
          <w:rStyle w:val="FootnoteReference"/>
          <w:rFonts w:cstheme="minorHAnsi"/>
          <w:shd w:val="clear" w:color="auto" w:fill="FFFFFF"/>
        </w:rPr>
        <w:footnoteReference w:id="3"/>
      </w:r>
      <w:r w:rsidRPr="0086255B">
        <w:rPr>
          <w:rFonts w:cstheme="minorHAnsi"/>
          <w:shd w:val="clear" w:color="auto" w:fill="FFFFFF"/>
          <w:lang w:val="hr-HR" w:eastAsia="hr-HR" w:bidi="hr-HR"/>
        </w:rPr>
        <w:t>?</w:t>
      </w:r>
    </w:p>
    <w:p w14:paraId="35AF077D" w14:textId="77777777" w:rsidR="004C5BF3" w:rsidRPr="0086255B" w:rsidRDefault="004C5BF3" w:rsidP="004C5BF3">
      <w:pPr>
        <w:spacing w:before="100" w:beforeAutospacing="1" w:after="100" w:afterAutospacing="1"/>
        <w:ind w:left="7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da                    </w:t>
      </w: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ne</w:t>
      </w:r>
    </w:p>
    <w:p w14:paraId="16BF1743" w14:textId="77777777" w:rsidR="004C5BF3" w:rsidRPr="0086255B" w:rsidRDefault="004C5BF3" w:rsidP="004C5BF3">
      <w:pPr>
        <w:numPr>
          <w:ilvl w:val="0"/>
          <w:numId w:val="2"/>
        </w:numPr>
        <w:tabs>
          <w:tab w:val="left" w:pos="720"/>
          <w:tab w:val="left" w:pos="1077"/>
          <w:tab w:val="left" w:pos="1440"/>
          <w:tab w:val="left" w:pos="1797"/>
        </w:tabs>
        <w:spacing w:before="120" w:after="120" w:line="240" w:lineRule="auto"/>
        <w:ind w:left="360"/>
        <w:jc w:val="both"/>
        <w:rPr>
          <w:rFonts w:cstheme="minorHAnsi"/>
          <w:shd w:val="clear" w:color="auto" w:fill="FFFFFF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>Da li je privredno društvo društvo u kojem najmanje nekoliko članova snosi neograničenu odgovornost za dug društva</w:t>
      </w:r>
      <w:r w:rsidRPr="0086255B">
        <w:rPr>
          <w:rStyle w:val="FootnoteReference"/>
          <w:rFonts w:cstheme="minorHAnsi"/>
          <w:shd w:val="clear" w:color="auto" w:fill="FFFFFF"/>
        </w:rPr>
        <w:footnoteReference w:id="4"/>
      </w:r>
      <w:r w:rsidRPr="0086255B">
        <w:rPr>
          <w:rFonts w:cstheme="minorHAnsi"/>
          <w:shd w:val="clear" w:color="auto" w:fill="FFFFFF"/>
          <w:lang w:val="hr-HR" w:eastAsia="hr-HR" w:bidi="hr-HR"/>
        </w:rPr>
        <w:t>, a više od polovine njegovog kapitala koji je prikazan u finansijskim izvještajima društva je izgubljeno zbog akumuliranih gubitaka?</w:t>
      </w:r>
    </w:p>
    <w:p w14:paraId="3BEC1871" w14:textId="77777777" w:rsidR="004C5BF3" w:rsidRPr="0086255B" w:rsidRDefault="004C5BF3" w:rsidP="004C5BF3">
      <w:pPr>
        <w:spacing w:before="100" w:beforeAutospacing="1" w:after="100" w:afterAutospacing="1"/>
        <w:ind w:left="7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da                    </w:t>
      </w: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ne</w:t>
      </w:r>
    </w:p>
    <w:p w14:paraId="6B727C3E" w14:textId="77777777" w:rsidR="004C5BF3" w:rsidRPr="0086255B" w:rsidRDefault="004C5BF3" w:rsidP="004C5BF3">
      <w:pPr>
        <w:numPr>
          <w:ilvl w:val="0"/>
          <w:numId w:val="2"/>
        </w:numPr>
        <w:tabs>
          <w:tab w:val="left" w:pos="720"/>
          <w:tab w:val="left" w:pos="1077"/>
          <w:tab w:val="left" w:pos="1440"/>
          <w:tab w:val="left" w:pos="1797"/>
        </w:tabs>
        <w:spacing w:before="120" w:after="120" w:line="240" w:lineRule="auto"/>
        <w:ind w:left="36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>Da li je privredno društvo predmet stečajnog postupka ili ispunjava kriterijume u skladu sa nacionalnim pravom da se nad njim sprovodi stečajni postupak na zahtjev svojih povjerilaca?</w:t>
      </w:r>
    </w:p>
    <w:p w14:paraId="22154485" w14:textId="77777777" w:rsidR="004C5BF3" w:rsidRPr="0086255B" w:rsidRDefault="004C5BF3" w:rsidP="004C5BF3">
      <w:pPr>
        <w:spacing w:before="100" w:beforeAutospacing="1" w:after="100" w:afterAutospacing="1"/>
        <w:ind w:left="7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da                    </w:t>
      </w: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ne</w:t>
      </w:r>
    </w:p>
    <w:p w14:paraId="24F26EAC" w14:textId="77777777" w:rsidR="004C5BF3" w:rsidRPr="0086255B" w:rsidRDefault="004C5BF3" w:rsidP="004C5BF3">
      <w:pPr>
        <w:numPr>
          <w:ilvl w:val="0"/>
          <w:numId w:val="2"/>
        </w:numPr>
        <w:tabs>
          <w:tab w:val="left" w:pos="720"/>
          <w:tab w:val="left" w:pos="1077"/>
          <w:tab w:val="left" w:pos="1440"/>
          <w:tab w:val="left" w:pos="1797"/>
        </w:tabs>
        <w:spacing w:before="120" w:after="120" w:line="240" w:lineRule="auto"/>
        <w:ind w:left="0" w:firstLine="0"/>
        <w:jc w:val="both"/>
        <w:rPr>
          <w:rFonts w:cstheme="minorHAnsi"/>
          <w:shd w:val="clear" w:color="auto" w:fill="FFFFFF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 xml:space="preserve">U slučaju privrednog društva koje nije MSP: </w:t>
      </w:r>
    </w:p>
    <w:p w14:paraId="038C737C" w14:textId="77777777" w:rsidR="004C5BF3" w:rsidRPr="0086255B" w:rsidRDefault="004C5BF3" w:rsidP="004C5BF3">
      <w:pPr>
        <w:widowControl w:val="0"/>
        <w:numPr>
          <w:ilvl w:val="0"/>
          <w:numId w:val="3"/>
        </w:numPr>
        <w:shd w:val="clear" w:color="auto" w:fill="FFFFFF"/>
        <w:spacing w:before="120" w:after="120" w:line="240" w:lineRule="auto"/>
        <w:ind w:left="720"/>
        <w:jc w:val="both"/>
        <w:rPr>
          <w:rFonts w:cstheme="minorHAnsi"/>
          <w:bCs/>
          <w:lang w:val="hr-HR" w:eastAsia="hr-HR" w:bidi="hr-HR"/>
        </w:rPr>
      </w:pPr>
      <w:r w:rsidRPr="0086255B">
        <w:rPr>
          <w:rFonts w:cstheme="minorHAnsi"/>
          <w:bCs/>
          <w:lang w:val="hr-HR" w:eastAsia="hr-HR" w:bidi="hr-HR"/>
        </w:rPr>
        <w:t>da li je odnos knjigovodstvenog duga i vlasničkog kapitala privrednog društva bio veći od 7,5 u posljednje dvije godine</w:t>
      </w:r>
    </w:p>
    <w:p w14:paraId="3E371BF6" w14:textId="77777777" w:rsidR="004C5BF3" w:rsidRPr="0086255B" w:rsidRDefault="004C5BF3" w:rsidP="004C5BF3">
      <w:pPr>
        <w:widowControl w:val="0"/>
        <w:shd w:val="clear" w:color="auto" w:fill="FFFFFF"/>
        <w:spacing w:before="120" w:after="120"/>
        <w:ind w:left="360"/>
        <w:jc w:val="both"/>
        <w:rPr>
          <w:rFonts w:cstheme="minorHAnsi"/>
          <w:bCs/>
          <w:lang w:val="hr-HR" w:eastAsia="hr-HR" w:bidi="hr-HR"/>
        </w:rPr>
      </w:pPr>
      <w:r w:rsidRPr="0086255B">
        <w:rPr>
          <w:rFonts w:cstheme="minorHAnsi"/>
          <w:bCs/>
          <w:lang w:val="hr-HR" w:eastAsia="hr-HR" w:bidi="hr-HR"/>
        </w:rPr>
        <w:t>i</w:t>
      </w:r>
    </w:p>
    <w:p w14:paraId="633883E2" w14:textId="77777777" w:rsidR="004C5BF3" w:rsidRPr="0086255B" w:rsidRDefault="004C5BF3" w:rsidP="004C5BF3">
      <w:pPr>
        <w:keepNext/>
        <w:numPr>
          <w:ilvl w:val="0"/>
          <w:numId w:val="3"/>
        </w:numPr>
        <w:shd w:val="clear" w:color="auto" w:fill="FFFFFF"/>
        <w:spacing w:before="120" w:after="120" w:line="240" w:lineRule="auto"/>
        <w:ind w:left="360" w:firstLine="0"/>
        <w:jc w:val="both"/>
        <w:rPr>
          <w:rFonts w:cstheme="minorHAnsi"/>
          <w:bCs/>
          <w:lang w:val="hr-HR" w:eastAsia="hr-HR" w:bidi="hr-HR"/>
        </w:rPr>
      </w:pPr>
      <w:r w:rsidRPr="0086255B">
        <w:rPr>
          <w:rFonts w:cstheme="minorHAnsi"/>
          <w:bCs/>
          <w:lang w:val="hr-HR" w:eastAsia="hr-HR" w:bidi="hr-HR"/>
        </w:rPr>
        <w:lastRenderedPageBreak/>
        <w:t xml:space="preserve">da li je EBITDA koeficijent pokrića kamata privrednog društva bio niži od 1,0 posljednje dvije godine? </w:t>
      </w:r>
    </w:p>
    <w:p w14:paraId="0A2854F0" w14:textId="77777777" w:rsidR="004C5BF3" w:rsidRPr="0086255B" w:rsidRDefault="004C5BF3" w:rsidP="004C5BF3">
      <w:pPr>
        <w:spacing w:before="100" w:beforeAutospacing="1" w:after="100" w:afterAutospacing="1"/>
        <w:ind w:left="7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da                     </w:t>
      </w: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ne</w:t>
      </w:r>
    </w:p>
    <w:p w14:paraId="484F3AE0" w14:textId="77777777" w:rsidR="004C5BF3" w:rsidRPr="0086255B" w:rsidRDefault="004C5BF3" w:rsidP="004C5BF3">
      <w:pPr>
        <w:numPr>
          <w:ilvl w:val="0"/>
          <w:numId w:val="2"/>
        </w:numPr>
        <w:tabs>
          <w:tab w:val="left" w:pos="720"/>
          <w:tab w:val="left" w:pos="1077"/>
          <w:tab w:val="left" w:pos="1440"/>
          <w:tab w:val="left" w:pos="1797"/>
        </w:tabs>
        <w:spacing w:before="120" w:after="120" w:line="240" w:lineRule="auto"/>
        <w:ind w:left="360"/>
        <w:jc w:val="both"/>
        <w:rPr>
          <w:rFonts w:cstheme="minorHAnsi"/>
          <w:shd w:val="clear" w:color="auto" w:fill="FFFFFF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>Ako ste odgovorili potvrdno da bilo koje od pitanja iz odjeljaka A do D, obrazložite odgovor, upućujući u odgovoru na dokaze ili dokumente navedene u prilogu (najnoviji izvještaji o bilansu uspjeha sa bilansom stanja, ili sudska odluka o pokretanju stečajnog postupka nad poslovanjem ili dokazi da su ispunjeni kriterijumi za pokretanje stečajnog postupka na zahtjev povjerilaca u skladu s nacionalnim pravom privrednih društava itd).</w:t>
      </w:r>
    </w:p>
    <w:p w14:paraId="22928C5A" w14:textId="77777777" w:rsidR="004C5BF3" w:rsidRPr="0086255B" w:rsidRDefault="004C5BF3" w:rsidP="004C5BF3">
      <w:pPr>
        <w:tabs>
          <w:tab w:val="left" w:leader="dot" w:pos="9072"/>
        </w:tabs>
        <w:spacing w:before="120" w:after="120"/>
        <w:jc w:val="both"/>
        <w:rPr>
          <w:rFonts w:cstheme="minorHAnsi"/>
          <w:noProof/>
        </w:rPr>
      </w:pPr>
      <w:r w:rsidRPr="0086255B">
        <w:rPr>
          <w:rFonts w:cstheme="minorHAnsi"/>
          <w:noProof/>
        </w:rPr>
        <w:tab/>
      </w:r>
    </w:p>
    <w:p w14:paraId="6B1F1E87" w14:textId="77777777" w:rsidR="004C5BF3" w:rsidRPr="0086255B" w:rsidRDefault="004C5BF3" w:rsidP="004C5BF3">
      <w:pPr>
        <w:numPr>
          <w:ilvl w:val="1"/>
          <w:numId w:val="1"/>
        </w:numPr>
        <w:spacing w:before="120" w:after="120" w:line="240" w:lineRule="auto"/>
        <w:ind w:left="0"/>
        <w:jc w:val="both"/>
        <w:rPr>
          <w:rFonts w:cstheme="minorHAnsi"/>
          <w:b/>
          <w:lang w:val="hr-HR" w:eastAsia="hr-HR" w:bidi="hr-HR"/>
        </w:rPr>
      </w:pPr>
      <w:r w:rsidRPr="0086255B">
        <w:rPr>
          <w:rFonts w:cstheme="minorHAnsi"/>
          <w:b/>
          <w:lang w:val="hr-HR" w:eastAsia="hr-HR" w:bidi="hr-HR"/>
        </w:rPr>
        <w:t>Privredno društvo koje se suočava sa ozbiljnom potrebom za likvidnošću</w:t>
      </w:r>
    </w:p>
    <w:p w14:paraId="23E305F9" w14:textId="77777777" w:rsidR="004C5BF3" w:rsidRPr="0086255B" w:rsidRDefault="004C5BF3" w:rsidP="004C5BF3">
      <w:pPr>
        <w:tabs>
          <w:tab w:val="left" w:pos="720"/>
          <w:tab w:val="left" w:pos="1077"/>
          <w:tab w:val="left" w:pos="1440"/>
          <w:tab w:val="left" w:pos="1797"/>
        </w:tabs>
        <w:spacing w:before="120" w:after="120"/>
        <w:contextualSpacing/>
        <w:jc w:val="both"/>
        <w:rPr>
          <w:rFonts w:cstheme="minorHAnsi"/>
          <w:shd w:val="clear" w:color="auto" w:fill="FFFFFF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>Ako uzmete u obzir činjenicu da korisnik ispunjava uslove za pomoć za sanaciju iako se ne kvalifikuje kao privredno društvo u poteškoćama, objasnite zašto smatrate da je suočen s ozbiljnom potrebom za likvidnošću zbog izuzetnih i nepredviđenih okolnosti i uputite na dokaze ili dokumente (npr. predviđanja novčanog toka).</w:t>
      </w:r>
    </w:p>
    <w:p w14:paraId="5768EEB5" w14:textId="77777777" w:rsidR="004C5BF3" w:rsidRPr="0086255B" w:rsidRDefault="004C5BF3" w:rsidP="004C5BF3">
      <w:pPr>
        <w:tabs>
          <w:tab w:val="left" w:pos="720"/>
          <w:tab w:val="left" w:pos="1077"/>
          <w:tab w:val="left" w:pos="1440"/>
          <w:tab w:val="left" w:pos="1797"/>
        </w:tabs>
        <w:spacing w:before="120" w:after="120"/>
        <w:contextualSpacing/>
        <w:jc w:val="both"/>
        <w:rPr>
          <w:rFonts w:cstheme="minorHAnsi"/>
          <w:shd w:val="clear" w:color="auto" w:fill="FFFFFF"/>
          <w:lang w:val="hr-HR" w:eastAsia="hr-HR" w:bidi="hr-HR"/>
        </w:rPr>
      </w:pPr>
    </w:p>
    <w:p w14:paraId="6F9A7A01" w14:textId="77777777" w:rsidR="004C5BF3" w:rsidRPr="0086255B" w:rsidRDefault="004C5BF3" w:rsidP="004C5BF3">
      <w:pPr>
        <w:numPr>
          <w:ilvl w:val="1"/>
          <w:numId w:val="1"/>
        </w:numPr>
        <w:spacing w:before="120" w:after="120" w:line="240" w:lineRule="auto"/>
        <w:ind w:left="0"/>
        <w:jc w:val="both"/>
        <w:rPr>
          <w:rFonts w:cstheme="minorHAnsi"/>
          <w:b/>
          <w:lang w:val="hr-HR" w:eastAsia="hr-HR" w:bidi="hr-HR"/>
        </w:rPr>
      </w:pPr>
      <w:r w:rsidRPr="0086255B">
        <w:rPr>
          <w:rFonts w:cstheme="minorHAnsi"/>
          <w:b/>
          <w:lang w:val="hr-HR" w:eastAsia="hr-HR" w:bidi="hr-HR"/>
        </w:rPr>
        <w:t>Novoosnovano privredno društvo/veća poslovna grupa:</w:t>
      </w:r>
    </w:p>
    <w:p w14:paraId="144779EB" w14:textId="77777777" w:rsidR="004C5BF3" w:rsidRPr="0086255B" w:rsidRDefault="004C5BF3" w:rsidP="004C5BF3">
      <w:pPr>
        <w:numPr>
          <w:ilvl w:val="0"/>
          <w:numId w:val="4"/>
        </w:numPr>
        <w:tabs>
          <w:tab w:val="left" w:pos="720"/>
          <w:tab w:val="left" w:pos="1077"/>
          <w:tab w:val="left" w:pos="1440"/>
          <w:tab w:val="left" w:pos="1797"/>
        </w:tabs>
        <w:spacing w:before="120" w:after="120" w:line="240" w:lineRule="auto"/>
        <w:ind w:left="0" w:firstLine="0"/>
        <w:jc w:val="both"/>
        <w:rPr>
          <w:rFonts w:cstheme="minorHAnsi"/>
          <w:shd w:val="clear" w:color="auto" w:fill="FFFFFF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>Kada je privredno društvo osnovano?</w:t>
      </w:r>
    </w:p>
    <w:p w14:paraId="151CE219" w14:textId="77777777" w:rsidR="004C5BF3" w:rsidRPr="0086255B" w:rsidRDefault="004C5BF3" w:rsidP="004C5BF3">
      <w:pPr>
        <w:tabs>
          <w:tab w:val="left" w:leader="dot" w:pos="9072"/>
        </w:tabs>
        <w:spacing w:before="120" w:after="120"/>
        <w:jc w:val="both"/>
        <w:rPr>
          <w:rFonts w:cstheme="minorHAnsi"/>
          <w:shd w:val="clear" w:color="auto" w:fill="FFFFFF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101A95A1" w14:textId="77777777" w:rsidR="004C5BF3" w:rsidRPr="0086255B" w:rsidRDefault="004C5BF3" w:rsidP="004C5BF3">
      <w:pPr>
        <w:numPr>
          <w:ilvl w:val="0"/>
          <w:numId w:val="4"/>
        </w:numPr>
        <w:tabs>
          <w:tab w:val="left" w:pos="614"/>
          <w:tab w:val="left" w:pos="720"/>
          <w:tab w:val="left" w:pos="1077"/>
          <w:tab w:val="left" w:pos="1440"/>
          <w:tab w:val="left" w:pos="1797"/>
        </w:tabs>
        <w:spacing w:before="120" w:after="120" w:line="240" w:lineRule="auto"/>
        <w:ind w:left="0" w:firstLine="0"/>
        <w:jc w:val="both"/>
        <w:rPr>
          <w:rFonts w:cstheme="minorHAnsi"/>
          <w:shd w:val="clear" w:color="auto" w:fill="FFFFFF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>Otkada privredno društvo posluje?</w:t>
      </w:r>
    </w:p>
    <w:p w14:paraId="66EAEBF8" w14:textId="77777777" w:rsidR="004C5BF3" w:rsidRPr="0086255B" w:rsidRDefault="004C5BF3" w:rsidP="004C5BF3">
      <w:pPr>
        <w:tabs>
          <w:tab w:val="left" w:leader="dot" w:pos="9072"/>
        </w:tabs>
        <w:spacing w:before="120" w:after="120"/>
        <w:jc w:val="both"/>
        <w:rPr>
          <w:rFonts w:cstheme="minorHAnsi"/>
          <w:shd w:val="clear" w:color="auto" w:fill="FFFFFF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5D6B88EC" w14:textId="77777777" w:rsidR="004C5BF3" w:rsidRPr="0086255B" w:rsidRDefault="004C5BF3" w:rsidP="004C5BF3">
      <w:pPr>
        <w:numPr>
          <w:ilvl w:val="0"/>
          <w:numId w:val="4"/>
        </w:numPr>
        <w:tabs>
          <w:tab w:val="left" w:pos="614"/>
          <w:tab w:val="left" w:pos="720"/>
          <w:tab w:val="left" w:pos="1077"/>
          <w:tab w:val="left" w:pos="1440"/>
          <w:tab w:val="left" w:pos="1797"/>
        </w:tabs>
        <w:spacing w:before="120" w:after="120" w:line="240" w:lineRule="auto"/>
        <w:ind w:left="0" w:firstLine="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>Da li društvo pripada većoj poslovnoj grupaciji?</w:t>
      </w:r>
    </w:p>
    <w:p w14:paraId="01709AEF" w14:textId="77777777" w:rsidR="004C5BF3" w:rsidRPr="0086255B" w:rsidRDefault="004C5BF3" w:rsidP="004C5BF3">
      <w:pPr>
        <w:spacing w:before="120" w:after="120"/>
        <w:jc w:val="both"/>
        <w:rPr>
          <w:rFonts w:cstheme="minorHAnsi"/>
          <w:shd w:val="clear" w:color="auto" w:fill="FFFFFF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da                     </w:t>
      </w: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ne</w:t>
      </w:r>
    </w:p>
    <w:p w14:paraId="57F46417" w14:textId="77777777" w:rsidR="004C5BF3" w:rsidRPr="0086255B" w:rsidRDefault="004C5BF3" w:rsidP="004C5BF3">
      <w:pPr>
        <w:numPr>
          <w:ilvl w:val="0"/>
          <w:numId w:val="4"/>
        </w:numPr>
        <w:tabs>
          <w:tab w:val="left" w:pos="720"/>
          <w:tab w:val="left" w:pos="1077"/>
          <w:tab w:val="left" w:pos="1440"/>
          <w:tab w:val="left" w:pos="1797"/>
        </w:tabs>
        <w:spacing w:before="120" w:after="120" w:line="240" w:lineRule="auto"/>
        <w:ind w:left="360"/>
        <w:jc w:val="both"/>
        <w:rPr>
          <w:rFonts w:cstheme="minorHAnsi"/>
          <w:shd w:val="clear" w:color="auto" w:fill="FFFFFF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>Ako ste potvrdno odgovorili na tačku „C”, dostavite detaljne podatke o grupi (organizaciona struktura u kojoj će se detaljno prikazati veze između članova grupe u odnosu na njihov udio u osnovnom kapitalu i pravo glasa) i priložite dokaze u prilog tome da je riječ o poteškoćama unutar poslovne grupacije i da one nisu rezultat arbitrarne raspodjele troškova unutar grupe i da su poteškoće preozbiljne da bi grupa sama mogla da se izbori sa njima.</w:t>
      </w:r>
    </w:p>
    <w:p w14:paraId="55B0B912" w14:textId="77777777" w:rsidR="004C5BF3" w:rsidRPr="0086255B" w:rsidRDefault="004C5BF3" w:rsidP="004C5BF3">
      <w:pPr>
        <w:spacing w:before="120" w:after="1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>..................................................................................................................................................................</w:t>
      </w:r>
    </w:p>
    <w:p w14:paraId="77B8D05C" w14:textId="77777777" w:rsidR="004C5BF3" w:rsidRPr="0086255B" w:rsidRDefault="004C5BF3" w:rsidP="004C5BF3">
      <w:pPr>
        <w:numPr>
          <w:ilvl w:val="1"/>
          <w:numId w:val="1"/>
        </w:numPr>
        <w:spacing w:before="120" w:after="120" w:line="240" w:lineRule="auto"/>
        <w:ind w:left="0"/>
        <w:jc w:val="both"/>
        <w:rPr>
          <w:rFonts w:cstheme="minorHAnsi"/>
          <w:b/>
          <w:lang w:val="hr-HR" w:eastAsia="hr-HR" w:bidi="hr-HR"/>
        </w:rPr>
      </w:pPr>
      <w:r w:rsidRPr="0086255B">
        <w:rPr>
          <w:rFonts w:cstheme="minorHAnsi"/>
          <w:b/>
          <w:lang w:val="hr-HR" w:eastAsia="hr-HR" w:bidi="hr-HR"/>
        </w:rPr>
        <w:t>Područje primjene po sektorima:</w:t>
      </w:r>
    </w:p>
    <w:p w14:paraId="081E5E0C" w14:textId="77777777" w:rsidR="004C5BF3" w:rsidRPr="0086255B" w:rsidRDefault="004C5BF3" w:rsidP="004C5BF3">
      <w:pPr>
        <w:widowControl w:val="0"/>
        <w:tabs>
          <w:tab w:val="left" w:pos="610"/>
        </w:tabs>
        <w:spacing w:before="120" w:after="120"/>
        <w:jc w:val="both"/>
        <w:rPr>
          <w:rFonts w:cstheme="minorHAnsi"/>
          <w:bCs/>
          <w:lang w:val="hr-HR" w:eastAsia="hr-HR" w:bidi="hr-HR"/>
        </w:rPr>
      </w:pPr>
      <w:r w:rsidRPr="0086255B">
        <w:rPr>
          <w:rFonts w:cstheme="minorHAnsi"/>
          <w:bCs/>
          <w:lang w:val="hr-HR" w:eastAsia="hr-HR" w:bidi="hr-HR"/>
        </w:rPr>
        <w:t>Da li je privredno društvo aktivno u sljedećim sektorima:</w:t>
      </w:r>
    </w:p>
    <w:p w14:paraId="100AB952" w14:textId="77777777" w:rsidR="004C5BF3" w:rsidRPr="0086255B" w:rsidRDefault="004C5BF3" w:rsidP="004C5BF3">
      <w:pPr>
        <w:numPr>
          <w:ilvl w:val="0"/>
          <w:numId w:val="5"/>
        </w:numPr>
        <w:tabs>
          <w:tab w:val="left" w:pos="720"/>
          <w:tab w:val="left" w:pos="1077"/>
          <w:tab w:val="left" w:pos="1440"/>
          <w:tab w:val="left" w:pos="1797"/>
        </w:tabs>
        <w:spacing w:before="120" w:after="120" w:line="240" w:lineRule="auto"/>
        <w:ind w:left="0" w:firstLine="0"/>
        <w:jc w:val="both"/>
        <w:rPr>
          <w:rFonts w:cstheme="minorHAnsi"/>
          <w:shd w:val="clear" w:color="auto" w:fill="FFFFFF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>sektoru uglja</w:t>
      </w:r>
      <w:r w:rsidRPr="0086255B">
        <w:rPr>
          <w:rStyle w:val="FootnoteReference"/>
          <w:rFonts w:cstheme="minorHAnsi"/>
          <w:shd w:val="clear" w:color="auto" w:fill="FFFFFF"/>
        </w:rPr>
        <w:footnoteReference w:id="5"/>
      </w:r>
      <w:r w:rsidRPr="0086255B">
        <w:rPr>
          <w:rFonts w:cstheme="minorHAnsi"/>
          <w:shd w:val="clear" w:color="auto" w:fill="FFFFFF"/>
          <w:lang w:val="sr-Latn-ME" w:eastAsia="hr-HR" w:bidi="hr-HR"/>
        </w:rPr>
        <w:t xml:space="preserve">:        </w:t>
      </w:r>
      <w:r w:rsidRPr="0086255B">
        <w:rPr>
          <w:rFonts w:cstheme="minorHAnsi"/>
          <w:shd w:val="clear" w:color="auto" w:fill="FFFFFF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shd w:val="clear" w:color="auto" w:fill="FFFFFF"/>
          <w:lang w:val="hr-HR" w:eastAsia="hr-HR" w:bidi="hr-HR"/>
        </w:rPr>
        <w:instrText xml:space="preserve"> FORMCHECKBOX </w:instrText>
      </w:r>
      <w:r>
        <w:rPr>
          <w:rFonts w:cstheme="minorHAnsi"/>
          <w:shd w:val="clear" w:color="auto" w:fill="FFFFFF"/>
          <w:lang w:val="hr-HR" w:eastAsia="hr-HR" w:bidi="hr-HR"/>
        </w:rPr>
      </w:r>
      <w:r>
        <w:rPr>
          <w:rFonts w:cstheme="minorHAnsi"/>
          <w:shd w:val="clear" w:color="auto" w:fill="FFFFFF"/>
          <w:lang w:val="hr-HR" w:eastAsia="hr-HR" w:bidi="hr-HR"/>
        </w:rPr>
        <w:fldChar w:fldCharType="separate"/>
      </w:r>
      <w:r w:rsidRPr="0086255B">
        <w:rPr>
          <w:rFonts w:cstheme="minorHAnsi"/>
          <w:shd w:val="clear" w:color="auto" w:fill="FFFFFF"/>
          <w:lang w:val="hr-HR" w:eastAsia="hr-HR" w:bidi="hr-HR"/>
        </w:rPr>
        <w:fldChar w:fldCharType="end"/>
      </w:r>
      <w:r w:rsidRPr="0086255B">
        <w:rPr>
          <w:rFonts w:cstheme="minorHAnsi"/>
          <w:shd w:val="clear" w:color="auto" w:fill="FFFFFF"/>
          <w:lang w:val="hr-HR" w:eastAsia="hr-HR" w:bidi="hr-HR"/>
        </w:rPr>
        <w:t xml:space="preserve">     da                    </w:t>
      </w:r>
      <w:r w:rsidRPr="0086255B">
        <w:rPr>
          <w:rFonts w:cstheme="minorHAnsi"/>
          <w:shd w:val="clear" w:color="auto" w:fill="FFFFFF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shd w:val="clear" w:color="auto" w:fill="FFFFFF"/>
          <w:lang w:val="hr-HR" w:eastAsia="hr-HR" w:bidi="hr-HR"/>
        </w:rPr>
        <w:instrText xml:space="preserve"> FORMCHECKBOX </w:instrText>
      </w:r>
      <w:r>
        <w:rPr>
          <w:rFonts w:cstheme="minorHAnsi"/>
          <w:shd w:val="clear" w:color="auto" w:fill="FFFFFF"/>
          <w:lang w:val="hr-HR" w:eastAsia="hr-HR" w:bidi="hr-HR"/>
        </w:rPr>
      </w:r>
      <w:r>
        <w:rPr>
          <w:rFonts w:cstheme="minorHAnsi"/>
          <w:shd w:val="clear" w:color="auto" w:fill="FFFFFF"/>
          <w:lang w:val="hr-HR" w:eastAsia="hr-HR" w:bidi="hr-HR"/>
        </w:rPr>
        <w:fldChar w:fldCharType="separate"/>
      </w:r>
      <w:r w:rsidRPr="0086255B">
        <w:rPr>
          <w:rFonts w:cstheme="minorHAnsi"/>
          <w:shd w:val="clear" w:color="auto" w:fill="FFFFFF"/>
          <w:lang w:val="hr-HR" w:eastAsia="hr-HR" w:bidi="hr-HR"/>
        </w:rPr>
        <w:fldChar w:fldCharType="end"/>
      </w:r>
      <w:r w:rsidRPr="0086255B">
        <w:rPr>
          <w:rFonts w:cstheme="minorHAnsi"/>
          <w:shd w:val="clear" w:color="auto" w:fill="FFFFFF"/>
          <w:lang w:val="hr-HR" w:eastAsia="hr-HR" w:bidi="hr-HR"/>
        </w:rPr>
        <w:t xml:space="preserve">     ne</w:t>
      </w:r>
      <w:r w:rsidRPr="0086255B">
        <w:rPr>
          <w:rFonts w:cstheme="minorHAnsi"/>
          <w:lang w:val="hr-HR" w:eastAsia="hr-HR" w:bidi="hr-HR"/>
        </w:rPr>
        <w:tab/>
      </w:r>
    </w:p>
    <w:p w14:paraId="067432CB" w14:textId="77777777" w:rsidR="004C5BF3" w:rsidRPr="0086255B" w:rsidRDefault="004C5BF3" w:rsidP="004C5BF3">
      <w:pPr>
        <w:numPr>
          <w:ilvl w:val="0"/>
          <w:numId w:val="5"/>
        </w:numPr>
        <w:tabs>
          <w:tab w:val="left" w:pos="720"/>
          <w:tab w:val="left" w:pos="1077"/>
          <w:tab w:val="left" w:pos="1440"/>
          <w:tab w:val="left" w:pos="1797"/>
        </w:tabs>
        <w:spacing w:before="120" w:after="120" w:line="240" w:lineRule="auto"/>
        <w:ind w:left="0" w:firstLine="0"/>
        <w:jc w:val="both"/>
        <w:rPr>
          <w:rFonts w:cstheme="minorHAnsi"/>
          <w:shd w:val="clear" w:color="auto" w:fill="FFFFFF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>sektoru čelika</w:t>
      </w:r>
      <w:r w:rsidRPr="0086255B">
        <w:rPr>
          <w:rStyle w:val="FootnoteReference"/>
          <w:rFonts w:cstheme="minorHAnsi"/>
          <w:shd w:val="clear" w:color="auto" w:fill="FFFFFF"/>
        </w:rPr>
        <w:footnoteReference w:id="6"/>
      </w:r>
      <w:r w:rsidRPr="0086255B">
        <w:rPr>
          <w:rFonts w:cstheme="minorHAnsi"/>
          <w:shd w:val="clear" w:color="auto" w:fill="FFFFFF"/>
          <w:lang w:val="hr-HR" w:eastAsia="hr-HR" w:bidi="hr-HR"/>
        </w:rPr>
        <w:t xml:space="preserve">:      </w:t>
      </w:r>
      <w:r w:rsidRPr="0086255B">
        <w:rPr>
          <w:rFonts w:cstheme="minorHAnsi"/>
          <w:shd w:val="clear" w:color="auto" w:fill="FFFFFF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shd w:val="clear" w:color="auto" w:fill="FFFFFF"/>
          <w:lang w:val="hr-HR" w:eastAsia="hr-HR" w:bidi="hr-HR"/>
        </w:rPr>
        <w:instrText xml:space="preserve"> FORMCHECKBOX </w:instrText>
      </w:r>
      <w:r>
        <w:rPr>
          <w:rFonts w:cstheme="minorHAnsi"/>
          <w:shd w:val="clear" w:color="auto" w:fill="FFFFFF"/>
          <w:lang w:val="hr-HR" w:eastAsia="hr-HR" w:bidi="hr-HR"/>
        </w:rPr>
      </w:r>
      <w:r>
        <w:rPr>
          <w:rFonts w:cstheme="minorHAnsi"/>
          <w:shd w:val="clear" w:color="auto" w:fill="FFFFFF"/>
          <w:lang w:val="hr-HR" w:eastAsia="hr-HR" w:bidi="hr-HR"/>
        </w:rPr>
        <w:fldChar w:fldCharType="separate"/>
      </w:r>
      <w:r w:rsidRPr="0086255B">
        <w:rPr>
          <w:rFonts w:cstheme="minorHAnsi"/>
          <w:shd w:val="clear" w:color="auto" w:fill="FFFFFF"/>
          <w:lang w:val="hr-HR" w:eastAsia="hr-HR" w:bidi="hr-HR"/>
        </w:rPr>
        <w:fldChar w:fldCharType="end"/>
      </w:r>
      <w:r w:rsidRPr="0086255B">
        <w:rPr>
          <w:rFonts w:cstheme="minorHAnsi"/>
          <w:shd w:val="clear" w:color="auto" w:fill="FFFFFF"/>
          <w:lang w:val="hr-HR" w:eastAsia="hr-HR" w:bidi="hr-HR"/>
        </w:rPr>
        <w:t xml:space="preserve">     da                    </w:t>
      </w:r>
      <w:r w:rsidRPr="0086255B">
        <w:rPr>
          <w:rFonts w:cstheme="minorHAnsi"/>
          <w:shd w:val="clear" w:color="auto" w:fill="FFFFFF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shd w:val="clear" w:color="auto" w:fill="FFFFFF"/>
          <w:lang w:val="hr-HR" w:eastAsia="hr-HR" w:bidi="hr-HR"/>
        </w:rPr>
        <w:instrText xml:space="preserve"> FORMCHECKBOX </w:instrText>
      </w:r>
      <w:r>
        <w:rPr>
          <w:rFonts w:cstheme="minorHAnsi"/>
          <w:shd w:val="clear" w:color="auto" w:fill="FFFFFF"/>
          <w:lang w:val="hr-HR" w:eastAsia="hr-HR" w:bidi="hr-HR"/>
        </w:rPr>
      </w:r>
      <w:r>
        <w:rPr>
          <w:rFonts w:cstheme="minorHAnsi"/>
          <w:shd w:val="clear" w:color="auto" w:fill="FFFFFF"/>
          <w:lang w:val="hr-HR" w:eastAsia="hr-HR" w:bidi="hr-HR"/>
        </w:rPr>
        <w:fldChar w:fldCharType="separate"/>
      </w:r>
      <w:r w:rsidRPr="0086255B">
        <w:rPr>
          <w:rFonts w:cstheme="minorHAnsi"/>
          <w:shd w:val="clear" w:color="auto" w:fill="FFFFFF"/>
          <w:lang w:val="hr-HR" w:eastAsia="hr-HR" w:bidi="hr-HR"/>
        </w:rPr>
        <w:fldChar w:fldCharType="end"/>
      </w:r>
      <w:r w:rsidRPr="0086255B">
        <w:rPr>
          <w:rFonts w:cstheme="minorHAnsi"/>
          <w:shd w:val="clear" w:color="auto" w:fill="FFFFFF"/>
          <w:lang w:val="hr-HR" w:eastAsia="hr-HR" w:bidi="hr-HR"/>
        </w:rPr>
        <w:t xml:space="preserve">     ne</w:t>
      </w:r>
      <w:r w:rsidRPr="0086255B">
        <w:rPr>
          <w:rFonts w:cstheme="minorHAnsi"/>
          <w:lang w:val="hr-HR" w:eastAsia="hr-HR" w:bidi="hr-HR"/>
        </w:rPr>
        <w:tab/>
      </w:r>
    </w:p>
    <w:p w14:paraId="32CD4B79" w14:textId="77777777" w:rsidR="004C5BF3" w:rsidRPr="0086255B" w:rsidRDefault="004C5BF3" w:rsidP="004C5BF3">
      <w:pPr>
        <w:keepNext/>
        <w:numPr>
          <w:ilvl w:val="0"/>
          <w:numId w:val="5"/>
        </w:numPr>
        <w:tabs>
          <w:tab w:val="left" w:pos="720"/>
          <w:tab w:val="left" w:pos="1077"/>
          <w:tab w:val="left" w:pos="1440"/>
          <w:tab w:val="left" w:pos="1797"/>
        </w:tabs>
        <w:spacing w:before="120" w:after="120" w:line="240" w:lineRule="auto"/>
        <w:ind w:left="0" w:firstLine="0"/>
        <w:jc w:val="both"/>
        <w:rPr>
          <w:rFonts w:cstheme="minorHAnsi"/>
          <w:shd w:val="clear" w:color="auto" w:fill="FFFFFF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lastRenderedPageBreak/>
        <w:t>sektorima koji su obuhvaćeni posebnim pravilima za finansijske institucije</w:t>
      </w:r>
      <w:r w:rsidRPr="0086255B">
        <w:rPr>
          <w:rFonts w:cstheme="minorHAnsi"/>
          <w:shd w:val="clear" w:color="auto" w:fill="FFFFFF"/>
          <w:vertAlign w:val="superscript"/>
          <w:lang w:val="hr-HR" w:eastAsia="hr-HR" w:bidi="hr-HR"/>
        </w:rPr>
        <w:footnoteReference w:id="7"/>
      </w:r>
      <w:r w:rsidRPr="0086255B">
        <w:rPr>
          <w:rFonts w:cstheme="minorHAnsi"/>
          <w:shd w:val="clear" w:color="auto" w:fill="FFFFFF"/>
          <w:lang w:val="hr-HR" w:eastAsia="hr-HR" w:bidi="hr-HR"/>
        </w:rPr>
        <w:t xml:space="preserve">? </w:t>
      </w:r>
    </w:p>
    <w:p w14:paraId="08D51D81" w14:textId="77777777" w:rsidR="004C5BF3" w:rsidRPr="0086255B" w:rsidRDefault="004C5BF3" w:rsidP="004C5BF3">
      <w:pPr>
        <w:spacing w:before="100" w:beforeAutospacing="1" w:after="100" w:afterAutospacing="1"/>
        <w:ind w:left="720"/>
        <w:jc w:val="both"/>
        <w:rPr>
          <w:rFonts w:cstheme="minorHAnsi"/>
          <w:shd w:val="clear" w:color="auto" w:fill="FFFFFF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shd w:val="clear" w:color="auto" w:fill="FFFFFF"/>
          <w:lang w:val="hr-HR" w:eastAsia="hr-HR" w:bidi="hr-HR"/>
        </w:rPr>
        <w:instrText xml:space="preserve"> FORMCHECKBOX </w:instrText>
      </w:r>
      <w:r>
        <w:rPr>
          <w:rFonts w:cstheme="minorHAnsi"/>
          <w:shd w:val="clear" w:color="auto" w:fill="FFFFFF"/>
          <w:lang w:val="hr-HR" w:eastAsia="hr-HR" w:bidi="hr-HR"/>
        </w:rPr>
      </w:r>
      <w:r>
        <w:rPr>
          <w:rFonts w:cstheme="minorHAnsi"/>
          <w:shd w:val="clear" w:color="auto" w:fill="FFFFFF"/>
          <w:lang w:val="hr-HR" w:eastAsia="hr-HR" w:bidi="hr-HR"/>
        </w:rPr>
        <w:fldChar w:fldCharType="separate"/>
      </w:r>
      <w:r w:rsidRPr="0086255B">
        <w:rPr>
          <w:rFonts w:cstheme="minorHAnsi"/>
          <w:shd w:val="clear" w:color="auto" w:fill="FFFFFF"/>
          <w:lang w:val="hr-HR" w:eastAsia="hr-HR" w:bidi="hr-HR"/>
        </w:rPr>
        <w:fldChar w:fldCharType="end"/>
      </w:r>
      <w:r w:rsidRPr="0086255B">
        <w:rPr>
          <w:rFonts w:cstheme="minorHAnsi"/>
          <w:shd w:val="clear" w:color="auto" w:fill="FFFFFF"/>
          <w:lang w:val="hr-HR" w:eastAsia="hr-HR" w:bidi="hr-HR"/>
        </w:rPr>
        <w:t xml:space="preserve">     da                    </w:t>
      </w:r>
      <w:r w:rsidRPr="0086255B">
        <w:rPr>
          <w:rFonts w:cstheme="minorHAnsi"/>
          <w:shd w:val="clear" w:color="auto" w:fill="FFFFFF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shd w:val="clear" w:color="auto" w:fill="FFFFFF"/>
          <w:lang w:val="hr-HR" w:eastAsia="hr-HR" w:bidi="hr-HR"/>
        </w:rPr>
        <w:instrText xml:space="preserve"> FORMCHECKBOX </w:instrText>
      </w:r>
      <w:r>
        <w:rPr>
          <w:rFonts w:cstheme="minorHAnsi"/>
          <w:shd w:val="clear" w:color="auto" w:fill="FFFFFF"/>
          <w:lang w:val="hr-HR" w:eastAsia="hr-HR" w:bidi="hr-HR"/>
        </w:rPr>
      </w:r>
      <w:r>
        <w:rPr>
          <w:rFonts w:cstheme="minorHAnsi"/>
          <w:shd w:val="clear" w:color="auto" w:fill="FFFFFF"/>
          <w:lang w:val="hr-HR" w:eastAsia="hr-HR" w:bidi="hr-HR"/>
        </w:rPr>
        <w:fldChar w:fldCharType="separate"/>
      </w:r>
      <w:r w:rsidRPr="0086255B">
        <w:rPr>
          <w:rFonts w:cstheme="minorHAnsi"/>
          <w:shd w:val="clear" w:color="auto" w:fill="FFFFFF"/>
          <w:lang w:val="hr-HR" w:eastAsia="hr-HR" w:bidi="hr-HR"/>
        </w:rPr>
        <w:fldChar w:fldCharType="end"/>
      </w:r>
      <w:r w:rsidRPr="0086255B">
        <w:rPr>
          <w:rFonts w:cstheme="minorHAnsi"/>
          <w:shd w:val="clear" w:color="auto" w:fill="FFFFFF"/>
          <w:lang w:val="hr-HR" w:eastAsia="hr-HR" w:bidi="hr-HR"/>
        </w:rPr>
        <w:t xml:space="preserve">     ne</w:t>
      </w:r>
      <w:r w:rsidRPr="0086255B">
        <w:rPr>
          <w:rFonts w:cstheme="minorHAnsi"/>
          <w:lang w:val="hr-HR" w:eastAsia="hr-HR" w:bidi="hr-HR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4C5BF3" w:rsidRPr="0086255B" w14:paraId="1E5097CC" w14:textId="77777777" w:rsidTr="00D507D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72D98858" w14:textId="77777777" w:rsidR="004C5BF3" w:rsidRPr="0086255B" w:rsidRDefault="004C5BF3" w:rsidP="004C5BF3">
            <w:pPr>
              <w:keepNext/>
              <w:numPr>
                <w:ilvl w:val="0"/>
                <w:numId w:val="6"/>
              </w:numPr>
              <w:tabs>
                <w:tab w:val="left" w:pos="720"/>
                <w:tab w:val="left" w:pos="1077"/>
                <w:tab w:val="left" w:pos="1440"/>
                <w:tab w:val="left" w:pos="1797"/>
              </w:tabs>
              <w:spacing w:before="120" w:after="120" w:line="240" w:lineRule="auto"/>
              <w:ind w:left="0" w:firstLine="0"/>
              <w:jc w:val="both"/>
              <w:outlineLvl w:val="3"/>
              <w:rPr>
                <w:rFonts w:eastAsia="Times New Roman" w:cstheme="minorHAnsi"/>
                <w:b/>
                <w:bCs/>
                <w:iCs/>
                <w:lang w:val="hr-HR" w:eastAsia="hr-HR" w:bidi="hr-HR"/>
              </w:rPr>
            </w:pPr>
            <w:r w:rsidRPr="0086255B">
              <w:rPr>
                <w:rFonts w:eastAsia="Times New Roman" w:cstheme="minorHAnsi"/>
                <w:b/>
                <w:bCs/>
                <w:i/>
                <w:iCs/>
                <w:lang w:val="hr-HR" w:eastAsia="hr-HR" w:bidi="hr-HR"/>
              </w:rPr>
              <w:br w:type="page"/>
            </w:r>
            <w:r w:rsidRPr="0086255B">
              <w:rPr>
                <w:rFonts w:eastAsia="Times New Roman" w:cstheme="minorHAnsi"/>
                <w:b/>
                <w:bCs/>
                <w:i/>
                <w:iCs/>
                <w:lang w:val="hr-HR" w:eastAsia="hr-HR" w:bidi="hr-HR"/>
              </w:rPr>
              <w:br w:type="page"/>
            </w:r>
            <w:r w:rsidRPr="0086255B">
              <w:rPr>
                <w:rFonts w:eastAsia="Times New Roman" w:cstheme="minorHAnsi"/>
                <w:b/>
                <w:bCs/>
                <w:iCs/>
                <w:lang w:val="hr-HR" w:eastAsia="hr-HR" w:bidi="hr-HR"/>
              </w:rPr>
              <w:t>Usklađenost sa unutrašnjim tržištem</w:t>
            </w:r>
          </w:p>
        </w:tc>
      </w:tr>
    </w:tbl>
    <w:p w14:paraId="14DC4275" w14:textId="77777777" w:rsidR="004C5BF3" w:rsidRPr="0086255B" w:rsidRDefault="004C5BF3" w:rsidP="004C5BF3">
      <w:pPr>
        <w:numPr>
          <w:ilvl w:val="1"/>
          <w:numId w:val="7"/>
        </w:numPr>
        <w:spacing w:before="120" w:after="120" w:line="240" w:lineRule="auto"/>
        <w:ind w:left="0" w:firstLine="0"/>
        <w:jc w:val="both"/>
        <w:rPr>
          <w:rFonts w:cstheme="minorHAnsi"/>
          <w:b/>
          <w:lang w:val="hr-HR" w:eastAsia="hr-HR" w:bidi="hr-HR"/>
        </w:rPr>
      </w:pPr>
      <w:r w:rsidRPr="0086255B">
        <w:rPr>
          <w:rFonts w:cstheme="minorHAnsi"/>
          <w:b/>
          <w:lang w:val="hr-HR" w:eastAsia="hr-HR" w:bidi="hr-HR"/>
        </w:rPr>
        <w:t xml:space="preserve">Doprinos cilju od zajedničkog interesa: </w:t>
      </w:r>
    </w:p>
    <w:p w14:paraId="60EE31B5" w14:textId="77777777" w:rsidR="004C5BF3" w:rsidRPr="0086255B" w:rsidRDefault="004C5BF3" w:rsidP="004C5BF3">
      <w:pPr>
        <w:numPr>
          <w:ilvl w:val="0"/>
          <w:numId w:val="8"/>
        </w:numPr>
        <w:spacing w:before="120" w:after="120" w:line="240" w:lineRule="auto"/>
        <w:ind w:left="36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>Da li se korisnik nalazi u području (na nivou NUTS 2) u kojem je stopa nezaposlenosti:</w:t>
      </w:r>
    </w:p>
    <w:p w14:paraId="2CF5D73A" w14:textId="77777777" w:rsidR="004C5BF3" w:rsidRPr="0086255B" w:rsidRDefault="004C5BF3" w:rsidP="004C5BF3">
      <w:pPr>
        <w:numPr>
          <w:ilvl w:val="1"/>
          <w:numId w:val="9"/>
        </w:numPr>
        <w:spacing w:before="120" w:after="120" w:line="240" w:lineRule="auto"/>
        <w:ind w:left="720"/>
        <w:contextualSpacing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 xml:space="preserve">veća od prosjeka Unije, postojana i propraćena poteškoćama u otvaranju novih radnih mjesta u predmetnom području, ili </w:t>
      </w:r>
    </w:p>
    <w:p w14:paraId="6E4EAA2E" w14:textId="77777777" w:rsidR="004C5BF3" w:rsidRPr="0086255B" w:rsidRDefault="004C5BF3" w:rsidP="004C5BF3">
      <w:pPr>
        <w:numPr>
          <w:ilvl w:val="1"/>
          <w:numId w:val="9"/>
        </w:numPr>
        <w:spacing w:before="120" w:after="120" w:line="240" w:lineRule="auto"/>
        <w:ind w:left="720"/>
        <w:contextualSpacing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>veća od nacionalnog prosjeka, postojana i propraćena poteškoćama u otvaranju novih radnih mjesta u predmetnom području?</w:t>
      </w:r>
    </w:p>
    <w:p w14:paraId="5AE385F2" w14:textId="77777777" w:rsidR="004C5BF3" w:rsidRPr="0086255B" w:rsidRDefault="004C5BF3" w:rsidP="004C5BF3">
      <w:pPr>
        <w:spacing w:before="100" w:beforeAutospacing="1" w:after="100" w:afterAutospacing="1"/>
        <w:ind w:left="7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da                    </w:t>
      </w: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ne</w:t>
      </w:r>
      <w:r w:rsidRPr="0086255B">
        <w:rPr>
          <w:rFonts w:cstheme="minorHAnsi"/>
          <w:shd w:val="clear" w:color="auto" w:fill="FFFFFF"/>
          <w:lang w:val="hr-HR" w:eastAsia="hr-HR" w:bidi="hr-HR"/>
        </w:rPr>
        <w:t xml:space="preserve"> </w:t>
      </w:r>
    </w:p>
    <w:p w14:paraId="659669A8" w14:textId="77777777" w:rsidR="004C5BF3" w:rsidRPr="0086255B" w:rsidRDefault="004C5BF3" w:rsidP="004C5BF3">
      <w:pPr>
        <w:numPr>
          <w:ilvl w:val="0"/>
          <w:numId w:val="8"/>
        </w:numPr>
        <w:spacing w:before="120" w:after="120" w:line="240" w:lineRule="auto"/>
        <w:ind w:left="36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 xml:space="preserve">Da li postoji rizik od prekida pružanja važne usluge koju je teško zamijeniti i koju bi svaki konkurent teško mogao obezbijediti umjesto korisnika (na primjer nacionalni pružalac usluga infrastrukture)? </w:t>
      </w:r>
    </w:p>
    <w:p w14:paraId="56603C94" w14:textId="77777777" w:rsidR="004C5BF3" w:rsidRPr="0086255B" w:rsidRDefault="004C5BF3" w:rsidP="004C5BF3">
      <w:pPr>
        <w:spacing w:before="100" w:beforeAutospacing="1" w:after="100" w:afterAutospacing="1"/>
        <w:ind w:left="7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da                    </w:t>
      </w: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ne</w:t>
      </w:r>
      <w:r w:rsidRPr="0086255B">
        <w:rPr>
          <w:rFonts w:cstheme="minorHAnsi"/>
          <w:shd w:val="clear" w:color="auto" w:fill="FFFFFF"/>
          <w:lang w:val="hr-HR" w:eastAsia="hr-HR" w:bidi="hr-HR"/>
        </w:rPr>
        <w:t xml:space="preserve"> </w:t>
      </w:r>
    </w:p>
    <w:p w14:paraId="4500DED8" w14:textId="77777777" w:rsidR="004C5BF3" w:rsidRPr="0086255B" w:rsidRDefault="004C5BF3" w:rsidP="004C5BF3">
      <w:pPr>
        <w:numPr>
          <w:ilvl w:val="0"/>
          <w:numId w:val="8"/>
        </w:numPr>
        <w:spacing w:before="120" w:after="120" w:line="240" w:lineRule="auto"/>
        <w:ind w:left="36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>Da li privredno društvo ima važnu sistemsku ulogu u određenom regionu ili sektoru? Da li bi njegov izlazak sa tržišta imao potencijalne negativne posljedice (na primjer u slučaju dobavljača važnih sirovina)?</w:t>
      </w:r>
    </w:p>
    <w:p w14:paraId="4D71DF95" w14:textId="77777777" w:rsidR="004C5BF3" w:rsidRPr="0086255B" w:rsidRDefault="004C5BF3" w:rsidP="004C5BF3">
      <w:pPr>
        <w:spacing w:before="100" w:beforeAutospacing="1" w:after="100" w:afterAutospacing="1"/>
        <w:ind w:left="7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da                    </w:t>
      </w: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ne</w:t>
      </w:r>
      <w:r w:rsidRPr="0086255B">
        <w:rPr>
          <w:rFonts w:cstheme="minorHAnsi"/>
          <w:shd w:val="clear" w:color="auto" w:fill="FFFFFF"/>
          <w:lang w:val="hr-HR" w:eastAsia="hr-HR" w:bidi="hr-HR"/>
        </w:rPr>
        <w:t xml:space="preserve"> </w:t>
      </w:r>
    </w:p>
    <w:p w14:paraId="249B2C2D" w14:textId="77777777" w:rsidR="004C5BF3" w:rsidRPr="0086255B" w:rsidRDefault="004C5BF3" w:rsidP="004C5BF3">
      <w:pPr>
        <w:numPr>
          <w:ilvl w:val="0"/>
          <w:numId w:val="8"/>
        </w:numPr>
        <w:spacing w:before="120" w:after="120" w:line="240" w:lineRule="auto"/>
        <w:ind w:left="36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>Da li postoji rizik od prekida kontinuiteta pružanja usluga od opšteg ekonomskog interesa?</w:t>
      </w:r>
    </w:p>
    <w:p w14:paraId="6FFA740A" w14:textId="77777777" w:rsidR="004C5BF3" w:rsidRPr="0086255B" w:rsidRDefault="004C5BF3" w:rsidP="004C5BF3">
      <w:pPr>
        <w:spacing w:before="100" w:beforeAutospacing="1" w:after="100" w:afterAutospacing="1"/>
        <w:ind w:left="7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da                    </w:t>
      </w: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ne</w:t>
      </w:r>
      <w:r w:rsidRPr="0086255B">
        <w:rPr>
          <w:rFonts w:cstheme="minorHAnsi"/>
          <w:shd w:val="clear" w:color="auto" w:fill="FFFFFF"/>
          <w:lang w:val="hr-HR" w:eastAsia="hr-HR" w:bidi="hr-HR"/>
        </w:rPr>
        <w:t xml:space="preserve"> </w:t>
      </w:r>
    </w:p>
    <w:p w14:paraId="76429E96" w14:textId="77777777" w:rsidR="004C5BF3" w:rsidRPr="0086255B" w:rsidRDefault="004C5BF3" w:rsidP="004C5BF3">
      <w:pPr>
        <w:numPr>
          <w:ilvl w:val="0"/>
          <w:numId w:val="8"/>
        </w:numPr>
        <w:spacing w:before="120" w:after="120" w:line="240" w:lineRule="auto"/>
        <w:ind w:left="36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>Da li bi neuspjeh ili nepovoljni podsticaji kreditnih tržišta doveli do stečaja inače održivog privrednog društva?</w:t>
      </w:r>
    </w:p>
    <w:p w14:paraId="74CAE38A" w14:textId="77777777" w:rsidR="004C5BF3" w:rsidRPr="0086255B" w:rsidRDefault="004C5BF3" w:rsidP="004C5BF3">
      <w:pPr>
        <w:spacing w:before="100" w:beforeAutospacing="1" w:after="100" w:afterAutospacing="1"/>
        <w:ind w:left="7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da                    </w:t>
      </w: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ne</w:t>
      </w:r>
      <w:r w:rsidRPr="0086255B">
        <w:rPr>
          <w:rFonts w:cstheme="minorHAnsi"/>
          <w:shd w:val="clear" w:color="auto" w:fill="FFFFFF"/>
          <w:lang w:val="hr-HR" w:eastAsia="hr-HR" w:bidi="hr-HR"/>
        </w:rPr>
        <w:t xml:space="preserve"> </w:t>
      </w:r>
    </w:p>
    <w:p w14:paraId="26881980" w14:textId="77777777" w:rsidR="004C5BF3" w:rsidRPr="0086255B" w:rsidRDefault="004C5BF3" w:rsidP="004C5BF3">
      <w:pPr>
        <w:numPr>
          <w:ilvl w:val="0"/>
          <w:numId w:val="8"/>
        </w:numPr>
        <w:spacing w:before="120" w:after="120" w:line="240" w:lineRule="auto"/>
        <w:ind w:left="36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>Da li bi izlazak predmetnog privrednog društva s tržišta doveo do nepopravljivog gubitka važnog tehničkog znanja ili stručnosti?</w:t>
      </w:r>
    </w:p>
    <w:p w14:paraId="4E46FA6C" w14:textId="77777777" w:rsidR="004C5BF3" w:rsidRPr="0086255B" w:rsidRDefault="004C5BF3" w:rsidP="004C5BF3">
      <w:pPr>
        <w:spacing w:before="100" w:beforeAutospacing="1" w:after="100" w:afterAutospacing="1"/>
        <w:ind w:left="7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da                    </w:t>
      </w: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ne</w:t>
      </w:r>
      <w:r w:rsidRPr="0086255B">
        <w:rPr>
          <w:rFonts w:cstheme="minorHAnsi"/>
          <w:shd w:val="clear" w:color="auto" w:fill="FFFFFF"/>
          <w:lang w:val="hr-HR" w:eastAsia="hr-HR" w:bidi="hr-HR"/>
        </w:rPr>
        <w:t xml:space="preserve"> </w:t>
      </w:r>
    </w:p>
    <w:p w14:paraId="1401E08C" w14:textId="77777777" w:rsidR="004C5BF3" w:rsidRPr="0086255B" w:rsidRDefault="004C5BF3" w:rsidP="004C5BF3">
      <w:pPr>
        <w:numPr>
          <w:ilvl w:val="0"/>
          <w:numId w:val="8"/>
        </w:numPr>
        <w:spacing w:before="120" w:after="120" w:line="240" w:lineRule="auto"/>
        <w:ind w:left="36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>Da li bi neuspjeh korisnika uključivao neku sličnu tešku situaciju koja nije prethodno navedena?</w:t>
      </w:r>
    </w:p>
    <w:p w14:paraId="27101023" w14:textId="77777777" w:rsidR="004C5BF3" w:rsidRPr="0086255B" w:rsidRDefault="004C5BF3" w:rsidP="004C5BF3">
      <w:pPr>
        <w:spacing w:before="100" w:beforeAutospacing="1" w:after="100" w:afterAutospacing="1"/>
        <w:ind w:left="7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da                    </w:t>
      </w: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ne</w:t>
      </w:r>
      <w:r w:rsidRPr="0086255B">
        <w:rPr>
          <w:rFonts w:cstheme="minorHAnsi"/>
          <w:shd w:val="clear" w:color="auto" w:fill="FFFFFF"/>
          <w:lang w:val="hr-HR" w:eastAsia="hr-HR" w:bidi="hr-HR"/>
        </w:rPr>
        <w:t xml:space="preserve"> </w:t>
      </w:r>
    </w:p>
    <w:p w14:paraId="2E47C7D0" w14:textId="77777777" w:rsidR="004C5BF3" w:rsidRPr="0086255B" w:rsidRDefault="004C5BF3" w:rsidP="004C5BF3">
      <w:pPr>
        <w:numPr>
          <w:ilvl w:val="0"/>
          <w:numId w:val="8"/>
        </w:numPr>
        <w:spacing w:before="120" w:after="120" w:line="240" w:lineRule="auto"/>
        <w:ind w:left="36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>Ako ste odgovorili potvrdno na bilo koje od pitanja iz tačaka A do G, obrazložite odgovor/odgovore i uputite na dodatne dokaze ili priložene dokumente.</w:t>
      </w:r>
    </w:p>
    <w:p w14:paraId="12C939C7" w14:textId="77777777" w:rsidR="004C5BF3" w:rsidRPr="0086255B" w:rsidRDefault="004C5BF3" w:rsidP="004C5BF3">
      <w:pPr>
        <w:tabs>
          <w:tab w:val="left" w:leader="dot" w:pos="9072"/>
        </w:tabs>
        <w:spacing w:before="120" w:after="1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4CBA3825" w14:textId="77777777" w:rsidR="004C5BF3" w:rsidRPr="0086255B" w:rsidRDefault="004C5BF3" w:rsidP="004C5BF3">
      <w:pPr>
        <w:tabs>
          <w:tab w:val="left" w:leader="dot" w:pos="9072"/>
        </w:tabs>
        <w:spacing w:before="120" w:after="1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1F08CDC4" w14:textId="77777777" w:rsidR="004C5BF3" w:rsidRPr="0086255B" w:rsidRDefault="004C5BF3" w:rsidP="004C5BF3">
      <w:pPr>
        <w:numPr>
          <w:ilvl w:val="1"/>
          <w:numId w:val="7"/>
        </w:numPr>
        <w:spacing w:before="120" w:after="120" w:line="240" w:lineRule="auto"/>
        <w:ind w:left="0" w:firstLine="0"/>
        <w:jc w:val="both"/>
        <w:rPr>
          <w:rFonts w:cstheme="minorHAnsi"/>
          <w:b/>
          <w:lang w:val="hr-HR" w:eastAsia="hr-HR" w:bidi="hr-HR"/>
        </w:rPr>
      </w:pPr>
      <w:r w:rsidRPr="0086255B">
        <w:rPr>
          <w:rFonts w:cstheme="minorHAnsi"/>
          <w:b/>
          <w:lang w:val="hr-HR" w:eastAsia="hr-HR" w:bidi="hr-HR"/>
        </w:rPr>
        <w:t>Primjerenost / oblik pomoći</w:t>
      </w:r>
    </w:p>
    <w:p w14:paraId="2FCAA861" w14:textId="77777777" w:rsidR="004C5BF3" w:rsidRPr="0086255B" w:rsidRDefault="004C5BF3" w:rsidP="004C5BF3">
      <w:pPr>
        <w:numPr>
          <w:ilvl w:val="0"/>
          <w:numId w:val="10"/>
        </w:numPr>
        <w:tabs>
          <w:tab w:val="left" w:pos="619"/>
        </w:tabs>
        <w:spacing w:before="120" w:after="120" w:line="240" w:lineRule="auto"/>
        <w:ind w:left="0" w:firstLine="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 xml:space="preserve">Da li je pomoć u obliku garancija za kredit ili u obliku kredita? </w:t>
      </w:r>
    </w:p>
    <w:p w14:paraId="0CAA525B" w14:textId="77777777" w:rsidR="004C5BF3" w:rsidRPr="0086255B" w:rsidRDefault="004C5BF3" w:rsidP="004C5BF3">
      <w:pPr>
        <w:spacing w:before="100" w:beforeAutospacing="1" w:after="100" w:afterAutospacing="1"/>
        <w:ind w:left="7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da                    </w:t>
      </w: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ne</w:t>
      </w:r>
      <w:r w:rsidRPr="0086255B">
        <w:rPr>
          <w:rFonts w:cstheme="minorHAnsi"/>
          <w:shd w:val="clear" w:color="auto" w:fill="FFFFFF"/>
          <w:lang w:val="hr-HR" w:eastAsia="hr-HR" w:bidi="hr-HR"/>
        </w:rPr>
        <w:t xml:space="preserve"> </w:t>
      </w:r>
    </w:p>
    <w:p w14:paraId="7D261A9D" w14:textId="77777777" w:rsidR="004C5BF3" w:rsidRPr="0086255B" w:rsidRDefault="004C5BF3" w:rsidP="004C5BF3">
      <w:pPr>
        <w:numPr>
          <w:ilvl w:val="0"/>
          <w:numId w:val="10"/>
        </w:numPr>
        <w:spacing w:before="120" w:after="120" w:line="240" w:lineRule="auto"/>
        <w:ind w:left="36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>Ako ste odgovorili potvrdno, opišite uslove kredita ili garancije i priložite odgovarajuće dokumente (npr. nacrt ugovora o kreditu, nacrt garancije).</w:t>
      </w:r>
    </w:p>
    <w:p w14:paraId="39D7E3A9" w14:textId="77777777" w:rsidR="004C5BF3" w:rsidRPr="0086255B" w:rsidRDefault="004C5BF3" w:rsidP="004C5BF3">
      <w:pPr>
        <w:tabs>
          <w:tab w:val="left" w:leader="dot" w:pos="9072"/>
        </w:tabs>
        <w:spacing w:before="120" w:after="1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2A459028" w14:textId="77777777" w:rsidR="004C5BF3" w:rsidRPr="0086255B" w:rsidRDefault="004C5BF3" w:rsidP="004C5BF3">
      <w:pPr>
        <w:numPr>
          <w:ilvl w:val="0"/>
          <w:numId w:val="10"/>
        </w:numPr>
        <w:spacing w:before="120" w:after="120" w:line="240" w:lineRule="auto"/>
        <w:ind w:left="36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>Da li je kamatna stopa za kredit (ili, ako je primjenjivo, ukupni finansijski trošak kredita sa garancijom, uključujući kamatnu stopu i garantnu premiju) na nivou koji nije niži od referentne stope koju je Komisija utvrdila u svom saopštenju o referentnoj stopi</w:t>
      </w:r>
      <w:r w:rsidRPr="0086255B">
        <w:rPr>
          <w:rFonts w:cstheme="minorHAnsi"/>
          <w:vertAlign w:val="superscript"/>
          <w:lang w:val="hr-HR" w:eastAsia="hr-HR" w:bidi="hr-HR"/>
        </w:rPr>
        <w:footnoteReference w:id="8"/>
      </w:r>
      <w:r w:rsidRPr="0086255B">
        <w:rPr>
          <w:rFonts w:cstheme="minorHAnsi"/>
          <w:lang w:val="hr-HR" w:eastAsia="hr-HR" w:bidi="hr-HR"/>
        </w:rPr>
        <w:t xml:space="preserve"> za slaba privredna društva kojom se nudi uobičajeni nivo kolateralizacije? </w:t>
      </w:r>
    </w:p>
    <w:p w14:paraId="49B80621" w14:textId="77777777" w:rsidR="004C5BF3" w:rsidRPr="0086255B" w:rsidRDefault="004C5BF3" w:rsidP="004C5BF3">
      <w:pPr>
        <w:spacing w:before="100" w:beforeAutospacing="1" w:after="100" w:afterAutospacing="1"/>
        <w:ind w:left="7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da                    </w:t>
      </w: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ne</w:t>
      </w:r>
      <w:r w:rsidRPr="0086255B">
        <w:rPr>
          <w:rFonts w:cstheme="minorHAnsi"/>
          <w:shd w:val="clear" w:color="auto" w:fill="FFFFFF"/>
          <w:lang w:val="hr-HR" w:eastAsia="hr-HR" w:bidi="hr-HR"/>
        </w:rPr>
        <w:t xml:space="preserve"> </w:t>
      </w:r>
    </w:p>
    <w:p w14:paraId="33CFF149" w14:textId="77777777" w:rsidR="004C5BF3" w:rsidRPr="0086255B" w:rsidRDefault="004C5BF3" w:rsidP="004C5BF3">
      <w:pPr>
        <w:numPr>
          <w:ilvl w:val="0"/>
          <w:numId w:val="10"/>
        </w:numPr>
        <w:spacing w:before="120" w:after="120" w:line="240" w:lineRule="auto"/>
        <w:ind w:left="36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>Objasnite na koji način će se koristiti pomoć za sanaciju: da li će se koristiti za finansiranje strukturnih mjera kao što su kupovina bitnih poslovanja ili imovine, osim ako su one potrebne za opstanak korisnika tokom sanacije?</w:t>
      </w:r>
    </w:p>
    <w:p w14:paraId="4B685A6E" w14:textId="77777777" w:rsidR="004C5BF3" w:rsidRPr="0086255B" w:rsidRDefault="004C5BF3" w:rsidP="004C5BF3">
      <w:pPr>
        <w:spacing w:before="100" w:beforeAutospacing="1" w:after="100" w:afterAutospacing="1"/>
        <w:ind w:left="7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da                    </w:t>
      </w: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ne</w:t>
      </w:r>
      <w:r w:rsidRPr="0086255B">
        <w:rPr>
          <w:rFonts w:cstheme="minorHAnsi"/>
          <w:shd w:val="clear" w:color="auto" w:fill="FFFFFF"/>
          <w:lang w:val="hr-HR" w:eastAsia="hr-HR" w:bidi="hr-HR"/>
        </w:rPr>
        <w:t xml:space="preserve"> </w:t>
      </w:r>
    </w:p>
    <w:p w14:paraId="7D6210CA" w14:textId="77777777" w:rsidR="004C5BF3" w:rsidRPr="0086255B" w:rsidRDefault="004C5BF3" w:rsidP="004C5BF3">
      <w:pPr>
        <w:numPr>
          <w:ilvl w:val="0"/>
          <w:numId w:val="10"/>
        </w:numPr>
        <w:spacing w:before="120" w:after="120" w:line="240" w:lineRule="auto"/>
        <w:ind w:left="0" w:firstLine="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 xml:space="preserve">Ako je tako, objasnite. </w:t>
      </w:r>
    </w:p>
    <w:p w14:paraId="362B05A0" w14:textId="77777777" w:rsidR="004C5BF3" w:rsidRPr="0086255B" w:rsidRDefault="004C5BF3" w:rsidP="004C5BF3">
      <w:pPr>
        <w:tabs>
          <w:tab w:val="left" w:leader="dot" w:pos="9072"/>
        </w:tabs>
        <w:spacing w:before="120" w:after="1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2B83A8DD" w14:textId="77777777" w:rsidR="004C5BF3" w:rsidRPr="0086255B" w:rsidRDefault="004C5BF3" w:rsidP="004C5BF3">
      <w:pPr>
        <w:numPr>
          <w:ilvl w:val="0"/>
          <w:numId w:val="10"/>
        </w:numPr>
        <w:spacing w:before="120" w:after="120" w:line="240" w:lineRule="auto"/>
        <w:ind w:left="36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 xml:space="preserve">Da li će kredit biti vraćen ili će garancija prestati najkasnije u roku od šest mjeseci od isplate prve rate korisniku? </w:t>
      </w:r>
    </w:p>
    <w:p w14:paraId="74F1E2AD" w14:textId="77777777" w:rsidR="004C5BF3" w:rsidRPr="0086255B" w:rsidRDefault="004C5BF3" w:rsidP="004C5BF3">
      <w:pPr>
        <w:spacing w:before="100" w:beforeAutospacing="1" w:after="100" w:afterAutospacing="1"/>
        <w:ind w:left="7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da                    </w:t>
      </w: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ne</w:t>
      </w:r>
      <w:r w:rsidRPr="0086255B">
        <w:rPr>
          <w:rFonts w:cstheme="minorHAnsi"/>
          <w:shd w:val="clear" w:color="auto" w:fill="FFFFFF"/>
          <w:lang w:val="hr-HR" w:eastAsia="hr-HR" w:bidi="hr-HR"/>
        </w:rPr>
        <w:t xml:space="preserve"> </w:t>
      </w:r>
    </w:p>
    <w:p w14:paraId="7E91F01E" w14:textId="77777777" w:rsidR="004C5BF3" w:rsidRPr="0086255B" w:rsidRDefault="004C5BF3" w:rsidP="004C5BF3">
      <w:pPr>
        <w:numPr>
          <w:ilvl w:val="0"/>
          <w:numId w:val="10"/>
        </w:numPr>
        <w:spacing w:before="120" w:after="120" w:line="240" w:lineRule="auto"/>
        <w:ind w:left="36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>Da li se obavezujete, da ćete najkasnije u roku od šest mjeseci od odobrenja mjere pomoći za sanaciju, Komisiji dostaviti jedno od navedenog:</w:t>
      </w:r>
    </w:p>
    <w:p w14:paraId="3FB5B70B" w14:textId="77777777" w:rsidR="004C5BF3" w:rsidRPr="0086255B" w:rsidRDefault="004C5BF3" w:rsidP="004C5BF3">
      <w:pPr>
        <w:numPr>
          <w:ilvl w:val="1"/>
          <w:numId w:val="11"/>
        </w:numPr>
        <w:spacing w:before="120" w:after="120" w:line="240" w:lineRule="auto"/>
        <w:ind w:left="360" w:firstLine="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 xml:space="preserve">dokaz da je kredit u potpunosti otplaćen i/ili da je garancija istekla; </w:t>
      </w:r>
    </w:p>
    <w:p w14:paraId="393BFC7C" w14:textId="77777777" w:rsidR="004C5BF3" w:rsidRPr="0086255B" w:rsidRDefault="004C5BF3" w:rsidP="004C5BF3">
      <w:pPr>
        <w:numPr>
          <w:ilvl w:val="1"/>
          <w:numId w:val="11"/>
        </w:numPr>
        <w:spacing w:before="120" w:after="120" w:line="240" w:lineRule="auto"/>
        <w:ind w:left="360" w:firstLine="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 xml:space="preserve">plan restrukturiranja; </w:t>
      </w:r>
    </w:p>
    <w:p w14:paraId="4D51F292" w14:textId="77777777" w:rsidR="004C5BF3" w:rsidRPr="0086255B" w:rsidRDefault="004C5BF3" w:rsidP="004C5BF3">
      <w:pPr>
        <w:numPr>
          <w:ilvl w:val="1"/>
          <w:numId w:val="11"/>
        </w:numPr>
        <w:spacing w:before="120" w:after="120" w:line="240" w:lineRule="auto"/>
        <w:ind w:left="7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lastRenderedPageBreak/>
        <w:t xml:space="preserve">plan likvidacije u kojem se detaljno opisuju koraci koji vode do likvidacije korisnika u razumnom vremenskom periodu bez dodatne pomoći? </w:t>
      </w:r>
    </w:p>
    <w:p w14:paraId="5BD3967E" w14:textId="77777777" w:rsidR="004C5BF3" w:rsidRPr="0086255B" w:rsidRDefault="004C5BF3" w:rsidP="004C5BF3">
      <w:pPr>
        <w:spacing w:before="100" w:beforeAutospacing="1" w:after="100" w:afterAutospacing="1"/>
        <w:ind w:left="7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da                    </w:t>
      </w: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ne</w:t>
      </w:r>
      <w:r w:rsidRPr="0086255B">
        <w:rPr>
          <w:rFonts w:cstheme="minorHAnsi"/>
          <w:shd w:val="clear" w:color="auto" w:fill="FFFFFF"/>
          <w:lang w:val="hr-HR" w:eastAsia="hr-HR" w:bidi="hr-HR"/>
        </w:rPr>
        <w:t xml:space="preserve"> </w:t>
      </w:r>
    </w:p>
    <w:p w14:paraId="5F41363D" w14:textId="77777777" w:rsidR="004C5BF3" w:rsidRPr="0086255B" w:rsidRDefault="004C5BF3" w:rsidP="004C5BF3">
      <w:pPr>
        <w:numPr>
          <w:ilvl w:val="1"/>
          <w:numId w:val="7"/>
        </w:numPr>
        <w:spacing w:before="120" w:after="120" w:line="240" w:lineRule="auto"/>
        <w:ind w:left="0" w:firstLine="0"/>
        <w:jc w:val="both"/>
        <w:rPr>
          <w:rFonts w:cstheme="minorHAnsi"/>
          <w:b/>
          <w:lang w:val="hr-HR" w:eastAsia="hr-HR" w:bidi="hr-HR"/>
        </w:rPr>
      </w:pPr>
      <w:r w:rsidRPr="0086255B">
        <w:rPr>
          <w:rFonts w:cstheme="minorHAnsi"/>
          <w:b/>
          <w:lang w:val="hr-HR" w:eastAsia="hr-HR" w:bidi="hr-HR"/>
        </w:rPr>
        <w:t xml:space="preserve">Proporcionalnost pomoći /pomoći ograničene na minimum </w:t>
      </w:r>
    </w:p>
    <w:p w14:paraId="63CAB386" w14:textId="77777777" w:rsidR="004C5BF3" w:rsidRPr="0086255B" w:rsidRDefault="004C5BF3" w:rsidP="004C5BF3">
      <w:pPr>
        <w:spacing w:before="120" w:after="1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 xml:space="preserve">Da li se iznos pomoći za sanaciju utvrđuje u skladu sa formulom iz Priloga I Smjernicama? </w:t>
      </w:r>
    </w:p>
    <w:p w14:paraId="72561510" w14:textId="77777777" w:rsidR="004C5BF3" w:rsidRPr="0086255B" w:rsidRDefault="004C5BF3" w:rsidP="004C5BF3">
      <w:pPr>
        <w:spacing w:before="100" w:beforeAutospacing="1" w:after="100" w:afterAutospacing="1"/>
        <w:ind w:left="7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da                    </w:t>
      </w: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ne</w:t>
      </w:r>
      <w:r w:rsidRPr="0086255B">
        <w:rPr>
          <w:rFonts w:cstheme="minorHAnsi"/>
          <w:shd w:val="clear" w:color="auto" w:fill="FFFFFF"/>
          <w:lang w:val="hr-HR" w:eastAsia="hr-HR" w:bidi="hr-HR"/>
        </w:rPr>
        <w:t xml:space="preserve"> </w:t>
      </w:r>
    </w:p>
    <w:p w14:paraId="6B72EA8A" w14:textId="77777777" w:rsidR="004C5BF3" w:rsidRPr="0086255B" w:rsidRDefault="004C5BF3" w:rsidP="004C5BF3">
      <w:pPr>
        <w:widowControl w:val="0"/>
        <w:spacing w:before="120" w:after="120"/>
        <w:jc w:val="both"/>
        <w:rPr>
          <w:rFonts w:cstheme="minorHAnsi"/>
          <w:shd w:val="clear" w:color="auto" w:fill="FFFFFF"/>
          <w:lang w:val="hr-HR" w:eastAsia="hr-HR" w:bidi="hr-HR"/>
        </w:rPr>
      </w:pPr>
      <w:r w:rsidRPr="0086255B">
        <w:rPr>
          <w:rFonts w:cstheme="minorHAnsi"/>
          <w:shd w:val="clear" w:color="auto" w:fill="FFFFFF"/>
          <w:lang w:val="hr-HR" w:eastAsia="hr-HR" w:bidi="hr-HR"/>
        </w:rPr>
        <w:t xml:space="preserve">Ako je odgovor potvrdan, navedite obračun iznosa pomoći za sanaciju u skladu sa formulom. </w:t>
      </w:r>
    </w:p>
    <w:p w14:paraId="329CA758" w14:textId="77777777" w:rsidR="004C5BF3" w:rsidRPr="0086255B" w:rsidRDefault="004C5BF3" w:rsidP="004C5BF3">
      <w:pPr>
        <w:spacing w:before="120" w:after="120"/>
        <w:jc w:val="both"/>
        <w:rPr>
          <w:rFonts w:cstheme="minorHAnsi"/>
          <w:lang w:val="hr-HR" w:eastAsia="hr-HR" w:bidi="hr-HR"/>
        </w:rPr>
      </w:pPr>
    </w:p>
    <w:p w14:paraId="3ECCB482" w14:textId="77777777" w:rsidR="004C5BF3" w:rsidRPr="0086255B" w:rsidRDefault="004C5BF3" w:rsidP="004C5BF3">
      <w:pPr>
        <w:spacing w:before="120" w:after="1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>Ako iznos pomoći za sanaciju prelazi rezultat obračuna utvrđenog na osnovu formule iz Priloga I Smjernicama, dostavite obrazloženi plan likvidnosti u kojem su navedene potrebe korisnika za likvidnošću za sljedećih šest mjeseci.</w:t>
      </w:r>
    </w:p>
    <w:p w14:paraId="4E35BB63" w14:textId="77777777" w:rsidR="004C5BF3" w:rsidRPr="0086255B" w:rsidRDefault="004C5BF3" w:rsidP="004C5BF3">
      <w:pPr>
        <w:tabs>
          <w:tab w:val="left" w:leader="dot" w:pos="9072"/>
        </w:tabs>
        <w:spacing w:before="120" w:after="1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p w14:paraId="7E62AED6" w14:textId="77777777" w:rsidR="004C5BF3" w:rsidRPr="0086255B" w:rsidRDefault="004C5BF3" w:rsidP="004C5BF3">
      <w:pPr>
        <w:numPr>
          <w:ilvl w:val="1"/>
          <w:numId w:val="7"/>
        </w:numPr>
        <w:spacing w:before="120" w:after="120" w:line="240" w:lineRule="auto"/>
        <w:ind w:left="0" w:firstLine="0"/>
        <w:jc w:val="both"/>
        <w:rPr>
          <w:rFonts w:cstheme="minorHAnsi"/>
          <w:b/>
          <w:lang w:val="hr-HR" w:eastAsia="hr-HR" w:bidi="hr-HR"/>
        </w:rPr>
      </w:pPr>
      <w:r w:rsidRPr="0086255B">
        <w:rPr>
          <w:rFonts w:cstheme="minorHAnsi"/>
          <w:b/>
          <w:lang w:val="hr-HR" w:eastAsia="hr-HR" w:bidi="hr-HR"/>
        </w:rPr>
        <w:t xml:space="preserve">Negativni efekti – Princip jednokratne dodjele </w:t>
      </w:r>
    </w:p>
    <w:p w14:paraId="2ADA3AD5" w14:textId="77777777" w:rsidR="004C5BF3" w:rsidRPr="0086255B" w:rsidRDefault="004C5BF3" w:rsidP="004C5BF3">
      <w:pPr>
        <w:spacing w:before="120" w:after="1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>Da li je privredno društvo (ili grupa kojoj pripada) već u prošlosti primilo pomoć za sanaciju, pomoć za restrukturiranje ili privremenu pomoć za restrukturiranje</w:t>
      </w:r>
      <w:r w:rsidRPr="0086255B">
        <w:rPr>
          <w:rFonts w:cstheme="minorHAnsi"/>
          <w:vertAlign w:val="superscript"/>
          <w:lang w:val="hr-HR" w:eastAsia="hr-HR" w:bidi="hr-HR"/>
        </w:rPr>
        <w:footnoteReference w:id="9"/>
      </w:r>
      <w:r w:rsidRPr="0086255B">
        <w:rPr>
          <w:rFonts w:cstheme="minorHAnsi"/>
          <w:lang w:val="hr-HR" w:eastAsia="hr-HR" w:bidi="hr-HR"/>
        </w:rPr>
        <w:t xml:space="preserve"> i/ili neku neprijavljenu pomoć?</w:t>
      </w:r>
    </w:p>
    <w:p w14:paraId="110FD739" w14:textId="77777777" w:rsidR="004C5BF3" w:rsidRPr="0086255B" w:rsidRDefault="004C5BF3" w:rsidP="004C5BF3">
      <w:pPr>
        <w:spacing w:before="100" w:beforeAutospacing="1" w:after="100" w:afterAutospacing="1"/>
        <w:ind w:left="7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da                    </w:t>
      </w:r>
      <w:r w:rsidRPr="0086255B">
        <w:rPr>
          <w:rFonts w:cstheme="minorHAnsi"/>
          <w:lang w:val="hr-HR" w:eastAsia="hr-HR" w:bidi="hr-H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6255B">
        <w:rPr>
          <w:rFonts w:cstheme="minorHAnsi"/>
          <w:lang w:val="hr-HR" w:eastAsia="hr-HR" w:bidi="hr-HR"/>
        </w:rPr>
        <w:instrText xml:space="preserve"> FORMCHECKBOX </w:instrText>
      </w:r>
      <w:r>
        <w:rPr>
          <w:rFonts w:cstheme="minorHAnsi"/>
          <w:lang w:val="hr-HR" w:eastAsia="hr-HR" w:bidi="hr-HR"/>
        </w:rPr>
      </w:r>
      <w:r>
        <w:rPr>
          <w:rFonts w:cstheme="minorHAnsi"/>
          <w:lang w:val="hr-HR" w:eastAsia="hr-HR" w:bidi="hr-HR"/>
        </w:rPr>
        <w:fldChar w:fldCharType="separate"/>
      </w:r>
      <w:r w:rsidRPr="0086255B">
        <w:rPr>
          <w:rFonts w:cstheme="minorHAnsi"/>
          <w:lang w:val="hr-HR" w:eastAsia="hr-HR" w:bidi="hr-HR"/>
        </w:rPr>
        <w:fldChar w:fldCharType="end"/>
      </w:r>
      <w:r w:rsidRPr="0086255B">
        <w:rPr>
          <w:rFonts w:cstheme="minorHAnsi"/>
          <w:lang w:val="hr-HR" w:eastAsia="hr-HR" w:bidi="hr-HR"/>
        </w:rPr>
        <w:t xml:space="preserve">     ne</w:t>
      </w:r>
      <w:r w:rsidRPr="0086255B">
        <w:rPr>
          <w:rFonts w:cstheme="minorHAnsi"/>
          <w:shd w:val="clear" w:color="auto" w:fill="FFFFFF"/>
          <w:lang w:val="hr-HR" w:eastAsia="hr-HR" w:bidi="hr-HR"/>
        </w:rPr>
        <w:t xml:space="preserve"> </w:t>
      </w:r>
    </w:p>
    <w:p w14:paraId="27C05104" w14:textId="77777777" w:rsidR="004C5BF3" w:rsidRPr="0086255B" w:rsidRDefault="004C5BF3" w:rsidP="004C5BF3">
      <w:pPr>
        <w:spacing w:before="120" w:after="1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>Ako je odgovor potvrdan, navedite sve detalje (datum, iznos, upućivanje na prethodnu odluku Komisije ako se primjenjuje itd.)</w:t>
      </w:r>
      <w:r w:rsidRPr="0086255B">
        <w:rPr>
          <w:rFonts w:cstheme="minorHAnsi"/>
          <w:vertAlign w:val="superscript"/>
          <w:lang w:val="hr-HR" w:eastAsia="hr-HR" w:bidi="hr-HR"/>
        </w:rPr>
        <w:footnoteReference w:id="10"/>
      </w:r>
      <w:r w:rsidRPr="0086255B">
        <w:rPr>
          <w:rFonts w:cstheme="minorHAnsi"/>
          <w:lang w:val="hr-HR" w:eastAsia="hr-HR" w:bidi="hr-HR"/>
        </w:rPr>
        <w:t>.</w:t>
      </w:r>
    </w:p>
    <w:p w14:paraId="17F0DFD8" w14:textId="77777777" w:rsidR="004C5BF3" w:rsidRPr="0086255B" w:rsidRDefault="004C5BF3" w:rsidP="004C5BF3">
      <w:pPr>
        <w:tabs>
          <w:tab w:val="left" w:leader="dot" w:pos="9072"/>
        </w:tabs>
        <w:spacing w:before="120" w:after="1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50"/>
      </w:tblGrid>
      <w:tr w:rsidR="004C5BF3" w:rsidRPr="0086255B" w14:paraId="30DA8B6B" w14:textId="77777777" w:rsidTr="00D507D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0EC82FB2" w14:textId="77777777" w:rsidR="004C5BF3" w:rsidRPr="0086255B" w:rsidRDefault="004C5BF3" w:rsidP="004C5BF3">
            <w:pPr>
              <w:keepNext/>
              <w:numPr>
                <w:ilvl w:val="0"/>
                <w:numId w:val="6"/>
              </w:numPr>
              <w:tabs>
                <w:tab w:val="left" w:pos="720"/>
                <w:tab w:val="left" w:pos="1077"/>
                <w:tab w:val="left" w:pos="1440"/>
                <w:tab w:val="left" w:pos="1797"/>
              </w:tabs>
              <w:spacing w:before="120" w:after="120" w:line="240" w:lineRule="auto"/>
              <w:ind w:left="0" w:firstLine="0"/>
              <w:jc w:val="both"/>
              <w:outlineLvl w:val="3"/>
              <w:rPr>
                <w:rFonts w:eastAsia="Times New Roman" w:cstheme="minorHAnsi"/>
                <w:b/>
                <w:bCs/>
                <w:iCs/>
                <w:lang w:val="hr-HR" w:eastAsia="hr-HR" w:bidi="hr-HR"/>
              </w:rPr>
            </w:pPr>
            <w:r w:rsidRPr="0086255B">
              <w:rPr>
                <w:rFonts w:eastAsia="Times New Roman" w:cstheme="minorHAnsi"/>
                <w:b/>
                <w:bCs/>
                <w:i/>
                <w:iCs/>
                <w:lang w:val="hr-HR" w:eastAsia="hr-HR" w:bidi="hr-HR"/>
              </w:rPr>
              <w:br w:type="page"/>
            </w:r>
            <w:r w:rsidRPr="0086255B">
              <w:rPr>
                <w:rFonts w:eastAsia="Times New Roman" w:cstheme="minorHAnsi"/>
                <w:b/>
                <w:bCs/>
                <w:i/>
                <w:iCs/>
                <w:lang w:val="hr-HR" w:eastAsia="hr-HR" w:bidi="hr-HR"/>
              </w:rPr>
              <w:br w:type="page"/>
            </w:r>
            <w:r w:rsidRPr="0086255B">
              <w:rPr>
                <w:rFonts w:eastAsia="Times New Roman" w:cstheme="minorHAnsi"/>
                <w:b/>
                <w:bCs/>
                <w:iCs/>
                <w:lang w:val="hr-HR" w:eastAsia="hr-HR" w:bidi="hr-HR"/>
              </w:rPr>
              <w:t>OSTALI PODACI</w:t>
            </w:r>
          </w:p>
        </w:tc>
      </w:tr>
    </w:tbl>
    <w:p w14:paraId="4B2353D9" w14:textId="77777777" w:rsidR="004C5BF3" w:rsidRPr="0086255B" w:rsidRDefault="004C5BF3" w:rsidP="004C5BF3">
      <w:pPr>
        <w:spacing w:before="120" w:after="1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 xml:space="preserve">Ovdje navedite sve ostale podatke koje smatrate važnim za procjenu te mjere / tih mjera u skladu sa Smjernicama: </w:t>
      </w:r>
    </w:p>
    <w:p w14:paraId="279B8643" w14:textId="570C9ACC" w:rsidR="001E27D7" w:rsidRPr="0078005A" w:rsidRDefault="004C5BF3" w:rsidP="0078005A">
      <w:pPr>
        <w:tabs>
          <w:tab w:val="left" w:leader="dot" w:pos="9072"/>
        </w:tabs>
        <w:spacing w:before="120" w:after="120"/>
        <w:jc w:val="both"/>
        <w:rPr>
          <w:rFonts w:cstheme="minorHAnsi"/>
          <w:lang w:val="hr-HR" w:eastAsia="hr-HR" w:bidi="hr-HR"/>
        </w:rPr>
      </w:pPr>
      <w:r w:rsidRPr="0086255B">
        <w:rPr>
          <w:rFonts w:cstheme="minorHAnsi"/>
          <w:lang w:val="hr-HR" w:eastAsia="hr-HR" w:bidi="hr-HR"/>
        </w:rPr>
        <w:tab/>
      </w:r>
      <w:bookmarkStart w:id="2" w:name="_GoBack"/>
      <w:bookmarkEnd w:id="2"/>
    </w:p>
    <w:sectPr w:rsidR="001E27D7" w:rsidRPr="00780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E5212" w14:textId="77777777" w:rsidR="0032112B" w:rsidRDefault="0032112B" w:rsidP="004C5BF3">
      <w:pPr>
        <w:spacing w:after="0" w:line="240" w:lineRule="auto"/>
      </w:pPr>
      <w:r>
        <w:separator/>
      </w:r>
    </w:p>
  </w:endnote>
  <w:endnote w:type="continuationSeparator" w:id="0">
    <w:p w14:paraId="6AA51C6A" w14:textId="77777777" w:rsidR="0032112B" w:rsidRDefault="0032112B" w:rsidP="004C5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E053E" w14:textId="77777777" w:rsidR="0032112B" w:rsidRDefault="0032112B" w:rsidP="004C5BF3">
      <w:pPr>
        <w:spacing w:after="0" w:line="240" w:lineRule="auto"/>
      </w:pPr>
      <w:r>
        <w:separator/>
      </w:r>
    </w:p>
  </w:footnote>
  <w:footnote w:type="continuationSeparator" w:id="0">
    <w:p w14:paraId="64A48021" w14:textId="77777777" w:rsidR="0032112B" w:rsidRDefault="0032112B" w:rsidP="004C5BF3">
      <w:pPr>
        <w:spacing w:after="0" w:line="240" w:lineRule="auto"/>
      </w:pPr>
      <w:r>
        <w:continuationSeparator/>
      </w:r>
    </w:p>
  </w:footnote>
  <w:footnote w:id="1">
    <w:p w14:paraId="77E45697" w14:textId="77777777" w:rsidR="004C5BF3" w:rsidRPr="005217EE" w:rsidRDefault="004C5BF3" w:rsidP="004C5BF3">
      <w:pPr>
        <w:pStyle w:val="FootnoteText"/>
        <w:spacing w:before="0" w:after="0"/>
        <w:ind w:left="0" w:firstLine="0"/>
        <w:contextualSpacing/>
        <w:rPr>
          <w:rFonts w:ascii="Calibri" w:hAnsi="Calibri" w:cs="Calibri"/>
          <w:lang w:val="sr-Latn-ME"/>
        </w:rPr>
      </w:pPr>
      <w:r w:rsidRPr="0001344D">
        <w:rPr>
          <w:rStyle w:val="FootnoteReference"/>
          <w:rFonts w:ascii="Calibri" w:hAnsi="Calibri" w:cs="Calibri"/>
        </w:rPr>
        <w:footnoteRef/>
      </w:r>
      <w:r w:rsidRPr="0001344D">
        <w:rPr>
          <w:rFonts w:ascii="Calibri" w:hAnsi="Calibri" w:cs="Calibri"/>
        </w:rPr>
        <w:t xml:space="preserve"> SL C 249, 31.7.2014, str. 1.</w:t>
      </w:r>
    </w:p>
  </w:footnote>
  <w:footnote w:id="2">
    <w:p w14:paraId="0DDACE6D" w14:textId="77777777" w:rsidR="004C5BF3" w:rsidRPr="005217EE" w:rsidRDefault="004C5BF3" w:rsidP="004C5BF3">
      <w:pPr>
        <w:pStyle w:val="FootnoteText"/>
        <w:spacing w:before="0" w:after="0"/>
        <w:ind w:left="0" w:firstLine="0"/>
        <w:contextualSpacing/>
        <w:rPr>
          <w:rFonts w:ascii="Calibri" w:hAnsi="Calibri" w:cs="Calibri"/>
          <w:lang w:val="sr-Latn-ME"/>
        </w:rPr>
      </w:pPr>
      <w:r w:rsidRPr="0001344D">
        <w:rPr>
          <w:rStyle w:val="FootnoteReference"/>
          <w:rFonts w:ascii="Calibri" w:hAnsi="Calibri" w:cs="Calibri"/>
        </w:rPr>
        <w:footnoteRef/>
      </w:r>
      <w:r w:rsidRPr="0001344D">
        <w:rPr>
          <w:rFonts w:ascii="Calibri" w:hAnsi="Calibri" w:cs="Calibri"/>
        </w:rPr>
        <w:t xml:space="preserve"> </w:t>
      </w:r>
      <w:r w:rsidRPr="0001344D">
        <w:rPr>
          <w:rFonts w:ascii="Calibri" w:hAnsi="Calibri" w:cs="Calibri"/>
        </w:rPr>
        <w:t xml:space="preserve">To se </w:t>
      </w:r>
      <w:proofErr w:type="spellStart"/>
      <w:r w:rsidRPr="0001344D">
        <w:rPr>
          <w:rFonts w:ascii="Calibri" w:hAnsi="Calibri" w:cs="Calibri"/>
        </w:rPr>
        <w:t>naročito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odnosi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na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vrste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društava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navedene</w:t>
      </w:r>
      <w:proofErr w:type="spellEnd"/>
      <w:r w:rsidRPr="0001344D">
        <w:rPr>
          <w:rFonts w:ascii="Calibri" w:hAnsi="Calibri" w:cs="Calibri"/>
        </w:rPr>
        <w:t xml:space="preserve"> u </w:t>
      </w:r>
      <w:proofErr w:type="spellStart"/>
      <w:r w:rsidRPr="0001344D">
        <w:rPr>
          <w:rFonts w:ascii="Calibri" w:hAnsi="Calibri" w:cs="Calibri"/>
        </w:rPr>
        <w:t>Prilogu</w:t>
      </w:r>
      <w:proofErr w:type="spellEnd"/>
      <w:r w:rsidRPr="0001344D">
        <w:rPr>
          <w:rFonts w:ascii="Calibri" w:hAnsi="Calibri" w:cs="Calibri"/>
        </w:rPr>
        <w:t xml:space="preserve"> I </w:t>
      </w:r>
      <w:proofErr w:type="spellStart"/>
      <w:r w:rsidRPr="0001344D">
        <w:rPr>
          <w:rFonts w:ascii="Calibri" w:hAnsi="Calibri" w:cs="Calibri"/>
        </w:rPr>
        <w:t>Direktive</w:t>
      </w:r>
      <w:proofErr w:type="spellEnd"/>
      <w:r w:rsidRPr="0001344D">
        <w:rPr>
          <w:rFonts w:ascii="Calibri" w:hAnsi="Calibri" w:cs="Calibri"/>
        </w:rPr>
        <w:t xml:space="preserve"> 2013/34/EU </w:t>
      </w:r>
      <w:proofErr w:type="spellStart"/>
      <w:r w:rsidRPr="0001344D">
        <w:rPr>
          <w:rFonts w:ascii="Calibri" w:hAnsi="Calibri" w:cs="Calibri"/>
        </w:rPr>
        <w:t>Evropskog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parlamenta</w:t>
      </w:r>
      <w:proofErr w:type="spellEnd"/>
      <w:r w:rsidRPr="0001344D">
        <w:rPr>
          <w:rFonts w:ascii="Calibri" w:hAnsi="Calibri" w:cs="Calibri"/>
        </w:rPr>
        <w:t xml:space="preserve"> i </w:t>
      </w:r>
      <w:proofErr w:type="spellStart"/>
      <w:r w:rsidRPr="0001344D">
        <w:rPr>
          <w:rFonts w:ascii="Calibri" w:hAnsi="Calibri" w:cs="Calibri"/>
        </w:rPr>
        <w:t>Savjeta</w:t>
      </w:r>
      <w:proofErr w:type="spellEnd"/>
      <w:r w:rsidRPr="0001344D">
        <w:rPr>
          <w:rFonts w:ascii="Calibri" w:hAnsi="Calibri" w:cs="Calibri"/>
        </w:rPr>
        <w:t xml:space="preserve"> od 26. </w:t>
      </w:r>
      <w:proofErr w:type="spellStart"/>
      <w:r w:rsidRPr="0001344D">
        <w:rPr>
          <w:rFonts w:ascii="Calibri" w:hAnsi="Calibri" w:cs="Calibri"/>
        </w:rPr>
        <w:t>juna</w:t>
      </w:r>
      <w:proofErr w:type="spellEnd"/>
      <w:r w:rsidRPr="0001344D">
        <w:rPr>
          <w:rFonts w:ascii="Calibri" w:hAnsi="Calibri" w:cs="Calibri"/>
        </w:rPr>
        <w:t xml:space="preserve"> 2013. </w:t>
      </w:r>
      <w:proofErr w:type="spellStart"/>
      <w:r w:rsidRPr="0001344D">
        <w:rPr>
          <w:rFonts w:ascii="Calibri" w:hAnsi="Calibri" w:cs="Calibri"/>
        </w:rPr>
        <w:t>godine</w:t>
      </w:r>
      <w:proofErr w:type="spellEnd"/>
      <w:r w:rsidRPr="0001344D">
        <w:rPr>
          <w:rFonts w:ascii="Calibri" w:hAnsi="Calibri" w:cs="Calibri"/>
        </w:rPr>
        <w:t xml:space="preserve"> o </w:t>
      </w:r>
      <w:proofErr w:type="spellStart"/>
      <w:r w:rsidRPr="0001344D">
        <w:rPr>
          <w:rFonts w:ascii="Calibri" w:hAnsi="Calibri" w:cs="Calibri"/>
        </w:rPr>
        <w:t>godišnjim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finansijskim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izvještajima</w:t>
      </w:r>
      <w:proofErr w:type="spellEnd"/>
      <w:r w:rsidRPr="0001344D">
        <w:rPr>
          <w:rFonts w:ascii="Calibri" w:hAnsi="Calibri" w:cs="Calibri"/>
        </w:rPr>
        <w:t xml:space="preserve">, </w:t>
      </w:r>
      <w:proofErr w:type="spellStart"/>
      <w:r w:rsidRPr="0001344D">
        <w:rPr>
          <w:rFonts w:ascii="Calibri" w:hAnsi="Calibri" w:cs="Calibri"/>
        </w:rPr>
        <w:t>konsolidovanim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finansijskim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izvještajima</w:t>
      </w:r>
      <w:proofErr w:type="spellEnd"/>
      <w:r w:rsidRPr="0001344D">
        <w:rPr>
          <w:rFonts w:ascii="Calibri" w:hAnsi="Calibri" w:cs="Calibri"/>
        </w:rPr>
        <w:t xml:space="preserve"> i </w:t>
      </w:r>
      <w:proofErr w:type="spellStart"/>
      <w:r w:rsidRPr="0001344D">
        <w:rPr>
          <w:rFonts w:ascii="Calibri" w:hAnsi="Calibri" w:cs="Calibri"/>
        </w:rPr>
        <w:t>povezanim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izvještajima</w:t>
      </w:r>
      <w:proofErr w:type="spellEnd"/>
      <w:r w:rsidRPr="0001344D">
        <w:rPr>
          <w:rFonts w:ascii="Calibri" w:hAnsi="Calibri" w:cs="Calibri"/>
        </w:rPr>
        <w:t xml:space="preserve"> za </w:t>
      </w:r>
      <w:proofErr w:type="spellStart"/>
      <w:r w:rsidRPr="0001344D">
        <w:rPr>
          <w:rFonts w:ascii="Calibri" w:hAnsi="Calibri" w:cs="Calibri"/>
        </w:rPr>
        <w:t>određene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vrste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privrednih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društava</w:t>
      </w:r>
      <w:proofErr w:type="spellEnd"/>
      <w:r w:rsidRPr="0001344D">
        <w:rPr>
          <w:rFonts w:ascii="Calibri" w:hAnsi="Calibri" w:cs="Calibri"/>
        </w:rPr>
        <w:t xml:space="preserve">, o </w:t>
      </w:r>
      <w:proofErr w:type="spellStart"/>
      <w:r w:rsidRPr="0001344D">
        <w:rPr>
          <w:rFonts w:ascii="Calibri" w:hAnsi="Calibri" w:cs="Calibri"/>
        </w:rPr>
        <w:t>izmjeni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Direktive</w:t>
      </w:r>
      <w:proofErr w:type="spellEnd"/>
      <w:r w:rsidRPr="0001344D">
        <w:rPr>
          <w:rFonts w:ascii="Calibri" w:hAnsi="Calibri" w:cs="Calibri"/>
        </w:rPr>
        <w:t xml:space="preserve"> 2006/43/EZ </w:t>
      </w:r>
      <w:proofErr w:type="spellStart"/>
      <w:r w:rsidRPr="0001344D">
        <w:rPr>
          <w:rFonts w:ascii="Calibri" w:hAnsi="Calibri" w:cs="Calibri"/>
        </w:rPr>
        <w:t>Evropskog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parlamenta</w:t>
      </w:r>
      <w:proofErr w:type="spellEnd"/>
      <w:r w:rsidRPr="0001344D">
        <w:rPr>
          <w:rFonts w:ascii="Calibri" w:hAnsi="Calibri" w:cs="Calibri"/>
        </w:rPr>
        <w:t xml:space="preserve"> i </w:t>
      </w:r>
      <w:proofErr w:type="spellStart"/>
      <w:r w:rsidRPr="0001344D">
        <w:rPr>
          <w:rFonts w:ascii="Calibri" w:hAnsi="Calibri" w:cs="Calibri"/>
        </w:rPr>
        <w:t>Savjeta</w:t>
      </w:r>
      <w:proofErr w:type="spellEnd"/>
      <w:r w:rsidRPr="0001344D">
        <w:rPr>
          <w:rFonts w:ascii="Calibri" w:hAnsi="Calibri" w:cs="Calibri"/>
        </w:rPr>
        <w:t xml:space="preserve"> i o </w:t>
      </w:r>
      <w:proofErr w:type="spellStart"/>
      <w:r w:rsidRPr="0001344D">
        <w:rPr>
          <w:rFonts w:ascii="Calibri" w:hAnsi="Calibri" w:cs="Calibri"/>
        </w:rPr>
        <w:t>stavljanju</w:t>
      </w:r>
      <w:proofErr w:type="spellEnd"/>
      <w:r w:rsidRPr="0001344D">
        <w:rPr>
          <w:rFonts w:ascii="Calibri" w:hAnsi="Calibri" w:cs="Calibri"/>
        </w:rPr>
        <w:t xml:space="preserve"> van </w:t>
      </w:r>
      <w:proofErr w:type="spellStart"/>
      <w:r w:rsidRPr="0001344D">
        <w:rPr>
          <w:rFonts w:ascii="Calibri" w:hAnsi="Calibri" w:cs="Calibri"/>
        </w:rPr>
        <w:t>snage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direktiva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Savjeta</w:t>
      </w:r>
      <w:proofErr w:type="spellEnd"/>
      <w:r w:rsidRPr="0001344D">
        <w:rPr>
          <w:rFonts w:ascii="Calibri" w:hAnsi="Calibri" w:cs="Calibri"/>
        </w:rPr>
        <w:t xml:space="preserve"> 78/660/EEZ i 83/349/EEZ (</w:t>
      </w:r>
      <w:r>
        <w:rPr>
          <w:rFonts w:ascii="Calibri" w:hAnsi="Calibri" w:cs="Calibri"/>
          <w:lang w:val="en-US"/>
        </w:rPr>
        <w:t>SL</w:t>
      </w:r>
      <w:r w:rsidRPr="0001344D">
        <w:rPr>
          <w:rFonts w:ascii="Calibri" w:hAnsi="Calibri" w:cs="Calibri"/>
        </w:rPr>
        <w:t xml:space="preserve"> L 182, 29.6.2013, str. 19)</w:t>
      </w:r>
    </w:p>
  </w:footnote>
  <w:footnote w:id="3">
    <w:p w14:paraId="1E2DF0E9" w14:textId="77777777" w:rsidR="004C5BF3" w:rsidRPr="005217EE" w:rsidRDefault="004C5BF3" w:rsidP="004C5BF3">
      <w:pPr>
        <w:pStyle w:val="FootnoteText"/>
        <w:spacing w:before="0" w:after="0"/>
        <w:ind w:left="0" w:firstLine="0"/>
        <w:contextualSpacing/>
        <w:rPr>
          <w:rFonts w:ascii="Calibri" w:hAnsi="Calibri" w:cs="Calibri"/>
          <w:lang w:val="sr-Latn-ME"/>
        </w:rPr>
      </w:pPr>
      <w:r w:rsidRPr="0001344D">
        <w:rPr>
          <w:rStyle w:val="FootnoteReference"/>
          <w:rFonts w:ascii="Calibri" w:hAnsi="Calibri" w:cs="Calibri"/>
        </w:rPr>
        <w:footnoteRef/>
      </w:r>
      <w:r w:rsidRPr="0001344D">
        <w:rPr>
          <w:rFonts w:ascii="Calibri" w:hAnsi="Calibri" w:cs="Calibri"/>
        </w:rPr>
        <w:t xml:space="preserve"> </w:t>
      </w:r>
      <w:r w:rsidRPr="0001344D">
        <w:rPr>
          <w:rFonts w:ascii="Calibri" w:hAnsi="Calibri" w:cs="Calibri"/>
        </w:rPr>
        <w:t xml:space="preserve">To se </w:t>
      </w:r>
      <w:proofErr w:type="spellStart"/>
      <w:r w:rsidRPr="0001344D">
        <w:rPr>
          <w:rFonts w:ascii="Calibri" w:hAnsi="Calibri" w:cs="Calibri"/>
        </w:rPr>
        <w:t>događa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kada</w:t>
      </w:r>
      <w:proofErr w:type="spellEnd"/>
      <w:r w:rsidRPr="0001344D">
        <w:rPr>
          <w:rFonts w:ascii="Calibri" w:hAnsi="Calibri" w:cs="Calibri"/>
        </w:rPr>
        <w:t xml:space="preserve"> se </w:t>
      </w:r>
      <w:proofErr w:type="spellStart"/>
      <w:r w:rsidRPr="0001344D">
        <w:rPr>
          <w:rFonts w:ascii="Calibri" w:hAnsi="Calibri" w:cs="Calibri"/>
        </w:rPr>
        <w:t>odbijanjem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prenesenih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gubitaka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iz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rezervi</w:t>
      </w:r>
      <w:proofErr w:type="spellEnd"/>
      <w:r w:rsidRPr="0001344D">
        <w:rPr>
          <w:rFonts w:ascii="Calibri" w:hAnsi="Calibri" w:cs="Calibri"/>
        </w:rPr>
        <w:t xml:space="preserve"> (i </w:t>
      </w:r>
      <w:proofErr w:type="spellStart"/>
      <w:r w:rsidRPr="0001344D">
        <w:rPr>
          <w:rFonts w:ascii="Calibri" w:hAnsi="Calibri" w:cs="Calibri"/>
        </w:rPr>
        <w:t>svih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drugih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elemenata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koji</w:t>
      </w:r>
      <w:proofErr w:type="spellEnd"/>
      <w:r w:rsidRPr="0001344D">
        <w:rPr>
          <w:rFonts w:ascii="Calibri" w:hAnsi="Calibri" w:cs="Calibri"/>
        </w:rPr>
        <w:t xml:space="preserve"> se </w:t>
      </w:r>
      <w:proofErr w:type="spellStart"/>
      <w:r w:rsidRPr="0001344D">
        <w:rPr>
          <w:rFonts w:ascii="Calibri" w:hAnsi="Calibri" w:cs="Calibri"/>
        </w:rPr>
        <w:t>uopšteno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smatraju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dijelom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vlastitog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kapitala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društva</w:t>
      </w:r>
      <w:proofErr w:type="spellEnd"/>
      <w:r w:rsidRPr="0001344D">
        <w:rPr>
          <w:rFonts w:ascii="Calibri" w:hAnsi="Calibri" w:cs="Calibri"/>
        </w:rPr>
        <w:t xml:space="preserve">) </w:t>
      </w:r>
      <w:proofErr w:type="spellStart"/>
      <w:r w:rsidRPr="0001344D">
        <w:rPr>
          <w:rFonts w:ascii="Calibri" w:hAnsi="Calibri" w:cs="Calibri"/>
        </w:rPr>
        <w:t>dobije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negativan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kumulativni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iznos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koji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prelazi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polovinu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upisanog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temeljnog</w:t>
      </w:r>
      <w:proofErr w:type="spellEnd"/>
      <w:r w:rsidRPr="0001344D">
        <w:rPr>
          <w:rFonts w:ascii="Calibri" w:hAnsi="Calibri" w:cs="Calibri"/>
        </w:rPr>
        <w:t xml:space="preserve"> </w:t>
      </w:r>
      <w:proofErr w:type="spellStart"/>
      <w:r w:rsidRPr="0001344D">
        <w:rPr>
          <w:rFonts w:ascii="Calibri" w:hAnsi="Calibri" w:cs="Calibri"/>
        </w:rPr>
        <w:t>kapitala</w:t>
      </w:r>
      <w:proofErr w:type="spellEnd"/>
      <w:r w:rsidRPr="0001344D">
        <w:rPr>
          <w:rFonts w:ascii="Calibri" w:hAnsi="Calibri" w:cs="Calibri"/>
        </w:rPr>
        <w:t>.</w:t>
      </w:r>
    </w:p>
  </w:footnote>
  <w:footnote w:id="4">
    <w:p w14:paraId="637FCECB" w14:textId="77777777" w:rsidR="004C5BF3" w:rsidRPr="001F1A8D" w:rsidRDefault="004C5BF3" w:rsidP="004C5BF3">
      <w:pPr>
        <w:pStyle w:val="FootnoteText"/>
        <w:spacing w:before="0" w:after="0"/>
        <w:ind w:left="0" w:firstLine="0"/>
        <w:contextualSpacing/>
        <w:rPr>
          <w:rFonts w:ascii="Calibri" w:hAnsi="Calibri" w:cs="Calibri"/>
          <w:lang w:val="it-IT"/>
        </w:rPr>
      </w:pPr>
      <w:r w:rsidRPr="0001344D">
        <w:rPr>
          <w:rStyle w:val="FootnoteReference"/>
          <w:rFonts w:ascii="Calibri" w:hAnsi="Calibri" w:cs="Calibri"/>
        </w:rPr>
        <w:footnoteRef/>
      </w:r>
      <w:r w:rsidRPr="001F1A8D">
        <w:rPr>
          <w:rFonts w:ascii="Calibri" w:hAnsi="Calibri" w:cs="Calibri"/>
          <w:lang w:val="it-IT"/>
        </w:rPr>
        <w:t xml:space="preserve"> </w:t>
      </w:r>
      <w:r w:rsidRPr="001F1A8D">
        <w:rPr>
          <w:rFonts w:ascii="Calibri" w:hAnsi="Calibri" w:cs="Calibri"/>
          <w:lang w:val="it-IT"/>
        </w:rPr>
        <w:t>To se posebno odnosi na vrste društava navedene u Prilogu II Direktive 2013/34/EU.</w:t>
      </w:r>
    </w:p>
  </w:footnote>
  <w:footnote w:id="5">
    <w:p w14:paraId="392D2BC5" w14:textId="77777777" w:rsidR="004C5BF3" w:rsidRPr="001F1A8D" w:rsidRDefault="004C5BF3" w:rsidP="004C5BF3">
      <w:pPr>
        <w:pStyle w:val="FootnoteText"/>
        <w:spacing w:before="0" w:after="0"/>
        <w:ind w:left="0" w:firstLine="0"/>
        <w:contextualSpacing/>
        <w:rPr>
          <w:rFonts w:ascii="Calibri" w:hAnsi="Calibri" w:cs="Calibri"/>
          <w:lang w:val="de-DE"/>
        </w:rPr>
      </w:pPr>
      <w:r w:rsidRPr="0001344D">
        <w:rPr>
          <w:rStyle w:val="FootnoteReference"/>
          <w:rFonts w:ascii="Calibri" w:hAnsi="Calibri" w:cs="Calibri"/>
        </w:rPr>
        <w:footnoteRef/>
      </w:r>
      <w:r w:rsidRPr="001F1A8D">
        <w:rPr>
          <w:rFonts w:ascii="Calibri" w:hAnsi="Calibri" w:cs="Calibri"/>
          <w:lang w:val="de-DE"/>
        </w:rPr>
        <w:t xml:space="preserve"> </w:t>
      </w:r>
      <w:r w:rsidRPr="001F1A8D">
        <w:rPr>
          <w:rFonts w:ascii="Calibri" w:hAnsi="Calibri" w:cs="Calibri"/>
          <w:lang w:val="de-DE"/>
        </w:rPr>
        <w:t>Kako je utvrđeno u Odluci 2010/787/EU.</w:t>
      </w:r>
    </w:p>
  </w:footnote>
  <w:footnote w:id="6">
    <w:p w14:paraId="14F4FF3C" w14:textId="77777777" w:rsidR="004C5BF3" w:rsidRPr="0001344D" w:rsidRDefault="004C5BF3" w:rsidP="004C5BF3">
      <w:pPr>
        <w:pStyle w:val="FootnoteText"/>
        <w:spacing w:before="0" w:after="0"/>
        <w:ind w:left="0" w:firstLine="0"/>
        <w:contextualSpacing/>
        <w:rPr>
          <w:rFonts w:ascii="Calibri" w:hAnsi="Calibri" w:cs="Calibri"/>
          <w:lang w:val="sr-Latn-ME"/>
        </w:rPr>
      </w:pPr>
      <w:r w:rsidRPr="0001344D">
        <w:rPr>
          <w:rStyle w:val="FootnoteReference"/>
          <w:rFonts w:ascii="Calibri" w:hAnsi="Calibri" w:cs="Calibri"/>
        </w:rPr>
        <w:footnoteRef/>
      </w:r>
      <w:r w:rsidRPr="001F1A8D">
        <w:rPr>
          <w:rFonts w:ascii="Calibri" w:hAnsi="Calibri" w:cs="Calibri"/>
          <w:lang w:val="de-DE"/>
        </w:rPr>
        <w:t xml:space="preserve"> </w:t>
      </w:r>
      <w:r w:rsidRPr="001F1A8D">
        <w:rPr>
          <w:rFonts w:ascii="Calibri" w:hAnsi="Calibri" w:cs="Calibri"/>
          <w:lang w:val="de-DE"/>
        </w:rPr>
        <w:t xml:space="preserve">Kako </w:t>
      </w:r>
      <w:r w:rsidRPr="001F1A8D">
        <w:rPr>
          <w:rFonts w:ascii="Calibri" w:hAnsi="Calibri" w:cs="Calibri"/>
          <w:lang w:val="de-DE"/>
        </w:rPr>
        <w:t>je utvrđeno u Prilogu IV Saopštenju Komisije: Smjernice za regionalnu državnu pomoć za period 2014 – 2020 (</w:t>
      </w:r>
      <w:r>
        <w:rPr>
          <w:rFonts w:ascii="Calibri" w:hAnsi="Calibri" w:cs="Calibri"/>
          <w:lang w:val="de-DE"/>
        </w:rPr>
        <w:t>SL</w:t>
      </w:r>
      <w:r w:rsidRPr="001F1A8D">
        <w:rPr>
          <w:rFonts w:ascii="Calibri" w:hAnsi="Calibri" w:cs="Calibri"/>
          <w:lang w:val="de-DE"/>
        </w:rPr>
        <w:t xml:space="preserve"> C 209, 23.7.2013, str. 1).</w:t>
      </w:r>
    </w:p>
  </w:footnote>
  <w:footnote w:id="7">
    <w:p w14:paraId="15F04C09" w14:textId="77777777" w:rsidR="004C5BF3" w:rsidRPr="0035133D" w:rsidRDefault="004C5BF3" w:rsidP="004C5BF3">
      <w:pPr>
        <w:pStyle w:val="FootnoteText"/>
        <w:spacing w:before="0" w:after="0"/>
        <w:ind w:left="0" w:firstLine="0"/>
        <w:contextualSpacing/>
        <w:rPr>
          <w:rFonts w:asciiTheme="minorHAnsi" w:hAnsiTheme="minorHAnsi" w:cs="Calibri"/>
          <w:lang w:val="pl-PL"/>
        </w:rPr>
      </w:pPr>
      <w:r w:rsidRPr="0035133D">
        <w:rPr>
          <w:rFonts w:asciiTheme="minorHAnsi" w:hAnsiTheme="minorHAnsi" w:cs="Calibri"/>
          <w:vertAlign w:val="superscript"/>
        </w:rPr>
        <w:footnoteRef/>
      </w:r>
      <w:r w:rsidRPr="0035133D">
        <w:rPr>
          <w:rFonts w:asciiTheme="minorHAnsi" w:hAnsiTheme="minorHAnsi" w:cs="Calibri"/>
          <w:lang w:val="pl-PL"/>
        </w:rPr>
        <w:t xml:space="preserve"> </w:t>
      </w:r>
      <w:r w:rsidRPr="0035133D">
        <w:rPr>
          <w:rFonts w:asciiTheme="minorHAnsi" w:hAnsiTheme="minorHAnsi" w:cs="Calibri"/>
          <w:lang w:val="pl-PL"/>
        </w:rPr>
        <w:t>Saopštenje Komisije o primjeni pravila o državnoj pomoći za podsticajne mjere u korist banaka u kontekstu finansijske krize počevši od 1. avgusta 2013. godine („Saopštenje o bankarstvu”) (SL C 216, 30.7.2013, str. 1).</w:t>
      </w:r>
    </w:p>
  </w:footnote>
  <w:footnote w:id="8">
    <w:p w14:paraId="3EA1A154" w14:textId="77777777" w:rsidR="004C5BF3" w:rsidRPr="0035133D" w:rsidRDefault="004C5BF3" w:rsidP="004C5BF3">
      <w:pPr>
        <w:pStyle w:val="FootnoteText"/>
        <w:spacing w:before="0" w:after="0"/>
        <w:ind w:left="0" w:firstLine="0"/>
        <w:contextualSpacing/>
        <w:rPr>
          <w:rFonts w:asciiTheme="minorHAnsi" w:hAnsiTheme="minorHAnsi" w:cs="Calibri"/>
          <w:lang w:val="pl-PL"/>
        </w:rPr>
      </w:pPr>
      <w:r w:rsidRPr="0035133D">
        <w:rPr>
          <w:rStyle w:val="FootnoteReference"/>
          <w:rFonts w:asciiTheme="minorHAnsi" w:hAnsiTheme="minorHAnsi"/>
        </w:rPr>
        <w:footnoteRef/>
      </w:r>
      <w:r w:rsidRPr="0035133D">
        <w:rPr>
          <w:rFonts w:asciiTheme="minorHAnsi" w:hAnsiTheme="minorHAnsi"/>
          <w:lang w:val="pl-PL"/>
        </w:rPr>
        <w:t xml:space="preserve"> </w:t>
      </w:r>
      <w:r w:rsidRPr="0035133D">
        <w:rPr>
          <w:rFonts w:asciiTheme="minorHAnsi" w:hAnsiTheme="minorHAnsi" w:cs="Calibri"/>
          <w:lang w:val="pl-PL"/>
        </w:rPr>
        <w:t xml:space="preserve">Saopštenje </w:t>
      </w:r>
      <w:r w:rsidRPr="0035133D">
        <w:rPr>
          <w:rFonts w:asciiTheme="minorHAnsi" w:hAnsiTheme="minorHAnsi" w:cs="Calibri"/>
          <w:lang w:val="pl-PL"/>
        </w:rPr>
        <w:t>Komisije o reviziji metode utvrđivanja referentnih i diskontnih stopa (SL C 14, 19.1.2008) ili bilo koje buduće saopštenje koje bi je moglo zamijeniti.</w:t>
      </w:r>
    </w:p>
  </w:footnote>
  <w:footnote w:id="9">
    <w:p w14:paraId="59B6E5DC" w14:textId="77777777" w:rsidR="004C5BF3" w:rsidRPr="00292AF4" w:rsidRDefault="004C5BF3" w:rsidP="004C5BF3">
      <w:pPr>
        <w:pStyle w:val="FootnoteText"/>
        <w:spacing w:before="0" w:after="0"/>
        <w:ind w:left="0" w:firstLine="0"/>
        <w:contextualSpacing/>
        <w:rPr>
          <w:rFonts w:ascii="Calibri" w:hAnsi="Calibri" w:cs="Calibri"/>
          <w:sz w:val="18"/>
          <w:szCs w:val="18"/>
          <w:lang w:val="pl-PL"/>
        </w:rPr>
      </w:pPr>
      <w:r w:rsidRPr="00292AF4">
        <w:rPr>
          <w:rStyle w:val="FootnoteReference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  <w:lang w:val="pl-PL"/>
        </w:rPr>
        <w:t xml:space="preserve"> </w:t>
      </w:r>
      <w:r w:rsidRPr="00292AF4">
        <w:rPr>
          <w:rFonts w:ascii="Calibri" w:hAnsi="Calibri" w:cs="Calibri"/>
          <w:sz w:val="18"/>
          <w:szCs w:val="18"/>
          <w:lang w:val="pl-PL"/>
        </w:rPr>
        <w:t xml:space="preserve">Uključujući </w:t>
      </w:r>
      <w:r w:rsidRPr="00292AF4">
        <w:rPr>
          <w:rFonts w:ascii="Calibri" w:hAnsi="Calibri" w:cs="Calibri"/>
          <w:sz w:val="18"/>
          <w:szCs w:val="18"/>
          <w:lang w:val="pl-PL"/>
        </w:rPr>
        <w:t>po</w:t>
      </w:r>
      <w:r>
        <w:rPr>
          <w:rFonts w:ascii="Calibri" w:hAnsi="Calibri" w:cs="Calibri"/>
          <w:sz w:val="18"/>
          <w:szCs w:val="18"/>
          <w:lang w:val="pl-PL"/>
        </w:rPr>
        <w:t>moć</w:t>
      </w:r>
      <w:r w:rsidRPr="00292AF4">
        <w:rPr>
          <w:rFonts w:ascii="Calibri" w:hAnsi="Calibri" w:cs="Calibri"/>
          <w:sz w:val="18"/>
          <w:szCs w:val="18"/>
          <w:lang w:val="pl-PL"/>
        </w:rPr>
        <w:t xml:space="preserve"> dodijeljenu prije datuma </w:t>
      </w:r>
      <w:r>
        <w:rPr>
          <w:rFonts w:ascii="Calibri" w:hAnsi="Calibri" w:cs="Calibri"/>
          <w:sz w:val="18"/>
          <w:szCs w:val="18"/>
          <w:lang w:val="pl-PL"/>
        </w:rPr>
        <w:t xml:space="preserve">kada </w:t>
      </w:r>
      <w:r w:rsidRPr="00292AF4">
        <w:rPr>
          <w:rFonts w:ascii="Calibri" w:hAnsi="Calibri" w:cs="Calibri"/>
          <w:sz w:val="18"/>
          <w:szCs w:val="18"/>
          <w:lang w:val="pl-PL"/>
        </w:rPr>
        <w:t xml:space="preserve"> je Komisija počela </w:t>
      </w:r>
      <w:r>
        <w:rPr>
          <w:rFonts w:ascii="Calibri" w:hAnsi="Calibri" w:cs="Calibri"/>
          <w:sz w:val="18"/>
          <w:szCs w:val="18"/>
          <w:lang w:val="pl-PL"/>
        </w:rPr>
        <w:t>da primjenjuje</w:t>
      </w:r>
      <w:r w:rsidRPr="00292AF4">
        <w:rPr>
          <w:rFonts w:ascii="Calibri" w:hAnsi="Calibri" w:cs="Calibri"/>
          <w:sz w:val="18"/>
          <w:szCs w:val="18"/>
          <w:lang w:val="pl-PL"/>
        </w:rPr>
        <w:t xml:space="preserve"> Smjernice, tj. prij</w:t>
      </w:r>
      <w:r>
        <w:rPr>
          <w:rFonts w:ascii="Calibri" w:hAnsi="Calibri" w:cs="Calibri"/>
          <w:sz w:val="18"/>
          <w:szCs w:val="18"/>
          <w:lang w:val="pl-PL"/>
        </w:rPr>
        <w:t xml:space="preserve">e  1. avgusta </w:t>
      </w:r>
      <w:r w:rsidRPr="00292AF4">
        <w:rPr>
          <w:rFonts w:ascii="Calibri" w:hAnsi="Calibri" w:cs="Calibri"/>
          <w:sz w:val="18"/>
          <w:szCs w:val="18"/>
          <w:lang w:val="pl-PL"/>
        </w:rPr>
        <w:t>2014.</w:t>
      </w:r>
      <w:r>
        <w:rPr>
          <w:rFonts w:ascii="Calibri" w:hAnsi="Calibri" w:cs="Calibri"/>
          <w:sz w:val="18"/>
          <w:szCs w:val="18"/>
          <w:lang w:val="pl-PL"/>
        </w:rPr>
        <w:t xml:space="preserve"> godine</w:t>
      </w:r>
    </w:p>
  </w:footnote>
  <w:footnote w:id="10">
    <w:p w14:paraId="589D1AA9" w14:textId="77777777" w:rsidR="004C5BF3" w:rsidRPr="00292AF4" w:rsidRDefault="004C5BF3" w:rsidP="004C5BF3">
      <w:pPr>
        <w:pStyle w:val="FootnoteText"/>
        <w:spacing w:before="0" w:after="0"/>
        <w:ind w:left="0" w:firstLine="0"/>
        <w:contextualSpacing/>
        <w:rPr>
          <w:rFonts w:ascii="Calibri" w:hAnsi="Calibri" w:cs="Calibri"/>
          <w:sz w:val="18"/>
          <w:szCs w:val="18"/>
          <w:lang w:val="pl-PL"/>
        </w:rPr>
      </w:pPr>
      <w:r w:rsidRPr="00292AF4">
        <w:rPr>
          <w:rStyle w:val="FootnoteReference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  <w:lang w:val="pl-PL"/>
        </w:rPr>
        <w:t xml:space="preserve"> </w:t>
      </w:r>
      <w:r w:rsidRPr="00292AF4">
        <w:rPr>
          <w:rFonts w:ascii="Calibri" w:hAnsi="Calibri" w:cs="Calibri"/>
          <w:sz w:val="18"/>
          <w:szCs w:val="18"/>
          <w:lang w:val="pl-PL"/>
        </w:rPr>
        <w:t xml:space="preserve">Napominjemo </w:t>
      </w:r>
      <w:r w:rsidRPr="00292AF4">
        <w:rPr>
          <w:rFonts w:ascii="Calibri" w:hAnsi="Calibri" w:cs="Calibri"/>
          <w:sz w:val="18"/>
          <w:szCs w:val="18"/>
          <w:lang w:val="pl-PL"/>
        </w:rPr>
        <w:t xml:space="preserve">da, ako je prošlo manje od deset godina od dodjele </w:t>
      </w:r>
      <w:r>
        <w:rPr>
          <w:rFonts w:ascii="Calibri" w:hAnsi="Calibri" w:cs="Calibri"/>
          <w:sz w:val="18"/>
          <w:szCs w:val="18"/>
          <w:lang w:val="pl-PL"/>
        </w:rPr>
        <w:t>pomoći</w:t>
      </w:r>
      <w:r w:rsidRPr="00292AF4">
        <w:rPr>
          <w:rFonts w:ascii="Calibri" w:hAnsi="Calibri" w:cs="Calibri"/>
          <w:sz w:val="18"/>
          <w:szCs w:val="18"/>
          <w:lang w:val="pl-PL"/>
        </w:rPr>
        <w:t xml:space="preserve"> za sanaciju ili privremene </w:t>
      </w:r>
      <w:r>
        <w:rPr>
          <w:rFonts w:ascii="Calibri" w:hAnsi="Calibri" w:cs="Calibri"/>
          <w:sz w:val="18"/>
          <w:szCs w:val="18"/>
          <w:lang w:val="pl-PL"/>
        </w:rPr>
        <w:t>pomoći</w:t>
      </w:r>
      <w:r w:rsidRPr="00292AF4">
        <w:rPr>
          <w:rFonts w:ascii="Calibri" w:hAnsi="Calibri" w:cs="Calibri"/>
          <w:sz w:val="18"/>
          <w:szCs w:val="18"/>
          <w:lang w:val="pl-PL"/>
        </w:rPr>
        <w:t xml:space="preserve"> </w:t>
      </w:r>
      <w:r>
        <w:rPr>
          <w:rFonts w:ascii="Calibri" w:hAnsi="Calibri" w:cs="Calibri"/>
          <w:sz w:val="18"/>
          <w:szCs w:val="18"/>
          <w:lang w:val="pl-PL"/>
        </w:rPr>
        <w:t>za restrukturiranje, završetka perioda</w:t>
      </w:r>
      <w:r w:rsidRPr="00292AF4">
        <w:rPr>
          <w:rFonts w:ascii="Calibri" w:hAnsi="Calibri" w:cs="Calibri"/>
          <w:sz w:val="18"/>
          <w:szCs w:val="18"/>
          <w:lang w:val="pl-PL"/>
        </w:rPr>
        <w:t xml:space="preserve"> restrukturiranja ili prekida </w:t>
      </w:r>
      <w:r>
        <w:rPr>
          <w:rFonts w:ascii="Calibri" w:hAnsi="Calibri" w:cs="Calibri"/>
          <w:sz w:val="18"/>
          <w:szCs w:val="18"/>
          <w:lang w:val="pl-PL"/>
        </w:rPr>
        <w:t>implementacije</w:t>
      </w:r>
      <w:r w:rsidRPr="00292AF4">
        <w:rPr>
          <w:rFonts w:ascii="Calibri" w:hAnsi="Calibri" w:cs="Calibri"/>
          <w:sz w:val="18"/>
          <w:szCs w:val="18"/>
          <w:lang w:val="pl-PL"/>
        </w:rPr>
        <w:t xml:space="preserve"> plana restrukturiranja </w:t>
      </w:r>
      <w:r>
        <w:rPr>
          <w:rFonts w:ascii="Calibri" w:hAnsi="Calibri" w:cs="Calibri"/>
          <w:sz w:val="18"/>
          <w:szCs w:val="18"/>
          <w:lang w:val="pl-PL"/>
        </w:rPr>
        <w:t>(u zavisnosti od toga</w:t>
      </w:r>
      <w:r w:rsidRPr="00292AF4">
        <w:rPr>
          <w:rFonts w:ascii="Calibri" w:hAnsi="Calibri" w:cs="Calibri"/>
          <w:sz w:val="18"/>
          <w:szCs w:val="18"/>
          <w:lang w:val="pl-PL"/>
        </w:rPr>
        <w:t xml:space="preserve"> koji je događaj novijeg datuma), </w:t>
      </w:r>
      <w:r>
        <w:rPr>
          <w:rFonts w:ascii="Calibri" w:hAnsi="Calibri" w:cs="Calibri"/>
          <w:sz w:val="18"/>
          <w:szCs w:val="18"/>
          <w:lang w:val="pl-PL"/>
        </w:rPr>
        <w:t>dalja pomoć</w:t>
      </w:r>
      <w:r w:rsidRPr="00292AF4">
        <w:rPr>
          <w:rFonts w:ascii="Calibri" w:hAnsi="Calibri" w:cs="Calibri"/>
          <w:sz w:val="18"/>
          <w:szCs w:val="18"/>
          <w:lang w:val="pl-PL"/>
        </w:rPr>
        <w:t xml:space="preserve"> za sanaciju, </w:t>
      </w:r>
      <w:r>
        <w:rPr>
          <w:rFonts w:ascii="Calibri" w:hAnsi="Calibri" w:cs="Calibri"/>
          <w:sz w:val="18"/>
          <w:szCs w:val="18"/>
          <w:lang w:val="pl-PL"/>
        </w:rPr>
        <w:t>pomoć</w:t>
      </w:r>
      <w:r w:rsidRPr="00292AF4">
        <w:rPr>
          <w:rFonts w:ascii="Calibri" w:hAnsi="Calibri" w:cs="Calibri"/>
          <w:sz w:val="18"/>
          <w:szCs w:val="18"/>
          <w:lang w:val="pl-PL"/>
        </w:rPr>
        <w:t xml:space="preserve"> za</w:t>
      </w:r>
      <w:r>
        <w:rPr>
          <w:rFonts w:ascii="Calibri" w:hAnsi="Calibri" w:cs="Calibri"/>
          <w:sz w:val="18"/>
          <w:szCs w:val="18"/>
          <w:lang w:val="pl-PL"/>
        </w:rPr>
        <w:t xml:space="preserve"> restrukturiranje ili privremena</w:t>
      </w:r>
      <w:r w:rsidRPr="00292AF4">
        <w:rPr>
          <w:rFonts w:ascii="Calibri" w:hAnsi="Calibri" w:cs="Calibri"/>
          <w:sz w:val="18"/>
          <w:szCs w:val="18"/>
          <w:lang w:val="pl-PL"/>
        </w:rPr>
        <w:t xml:space="preserve"> </w:t>
      </w:r>
      <w:r>
        <w:rPr>
          <w:rFonts w:ascii="Calibri" w:hAnsi="Calibri" w:cs="Calibri"/>
          <w:sz w:val="18"/>
          <w:szCs w:val="18"/>
          <w:lang w:val="pl-PL"/>
        </w:rPr>
        <w:t>pomoć</w:t>
      </w:r>
      <w:r w:rsidRPr="00292AF4">
        <w:rPr>
          <w:rFonts w:ascii="Calibri" w:hAnsi="Calibri" w:cs="Calibri"/>
          <w:sz w:val="18"/>
          <w:szCs w:val="18"/>
          <w:lang w:val="pl-PL"/>
        </w:rPr>
        <w:t xml:space="preserve"> za restrukturiranje smiju se odobravati samo u sljedećim slučajevima: (a) ako se privremena </w:t>
      </w:r>
      <w:r>
        <w:rPr>
          <w:rFonts w:ascii="Calibri" w:hAnsi="Calibri" w:cs="Calibri"/>
          <w:sz w:val="18"/>
          <w:szCs w:val="18"/>
          <w:lang w:val="pl-PL"/>
        </w:rPr>
        <w:t xml:space="preserve">pomoć </w:t>
      </w:r>
      <w:r w:rsidRPr="00292AF4">
        <w:rPr>
          <w:rFonts w:ascii="Calibri" w:hAnsi="Calibri" w:cs="Calibri"/>
          <w:sz w:val="18"/>
          <w:szCs w:val="18"/>
          <w:lang w:val="pl-PL"/>
        </w:rPr>
        <w:t>za restrukturiranje dodjeljuje nakon p</w:t>
      </w:r>
      <w:r>
        <w:rPr>
          <w:rFonts w:ascii="Calibri" w:hAnsi="Calibri" w:cs="Calibri"/>
          <w:sz w:val="18"/>
          <w:szCs w:val="18"/>
          <w:lang w:val="pl-PL"/>
        </w:rPr>
        <w:t xml:space="preserve">omoći </w:t>
      </w:r>
      <w:r w:rsidRPr="00292AF4">
        <w:rPr>
          <w:rFonts w:ascii="Calibri" w:hAnsi="Calibri" w:cs="Calibri"/>
          <w:sz w:val="18"/>
          <w:szCs w:val="18"/>
          <w:lang w:val="pl-PL"/>
        </w:rPr>
        <w:t xml:space="preserve">za sanaciju kao dio jedinstvenog postupka restrukturiranja; (b) ako </w:t>
      </w:r>
      <w:r>
        <w:rPr>
          <w:rFonts w:ascii="Calibri" w:hAnsi="Calibri" w:cs="Calibri"/>
          <w:sz w:val="18"/>
          <w:szCs w:val="18"/>
          <w:lang w:val="pl-PL"/>
        </w:rPr>
        <w:t>se pomoć</w:t>
      </w:r>
      <w:r w:rsidRPr="00292AF4">
        <w:rPr>
          <w:rFonts w:ascii="Calibri" w:hAnsi="Calibri" w:cs="Calibri"/>
          <w:sz w:val="18"/>
          <w:szCs w:val="18"/>
          <w:lang w:val="pl-PL"/>
        </w:rPr>
        <w:t xml:space="preserve"> za restrukturiranje dodjeljuje nakon p</w:t>
      </w:r>
      <w:r>
        <w:rPr>
          <w:rFonts w:ascii="Calibri" w:hAnsi="Calibri" w:cs="Calibri"/>
          <w:sz w:val="18"/>
          <w:szCs w:val="18"/>
          <w:lang w:val="pl-PL"/>
        </w:rPr>
        <w:t>omoći</w:t>
      </w:r>
      <w:r w:rsidRPr="00292AF4">
        <w:rPr>
          <w:rFonts w:ascii="Calibri" w:hAnsi="Calibri" w:cs="Calibri"/>
          <w:sz w:val="18"/>
          <w:szCs w:val="18"/>
          <w:lang w:val="pl-PL"/>
        </w:rPr>
        <w:t xml:space="preserve"> za sanaciju ili privremene po</w:t>
      </w:r>
      <w:r>
        <w:rPr>
          <w:rFonts w:ascii="Calibri" w:hAnsi="Calibri" w:cs="Calibri"/>
          <w:sz w:val="18"/>
          <w:szCs w:val="18"/>
          <w:lang w:val="pl-PL"/>
        </w:rPr>
        <w:t>moći</w:t>
      </w:r>
      <w:r w:rsidRPr="00292AF4">
        <w:rPr>
          <w:rFonts w:ascii="Calibri" w:hAnsi="Calibri" w:cs="Calibri"/>
          <w:sz w:val="18"/>
          <w:szCs w:val="18"/>
          <w:lang w:val="pl-PL"/>
        </w:rPr>
        <w:t xml:space="preserve"> za restrukturiranje kao dio jedinstvenog postupka restrukturiranja; (c) ako su </w:t>
      </w:r>
      <w:r>
        <w:rPr>
          <w:rFonts w:ascii="Calibri" w:hAnsi="Calibri" w:cs="Calibri"/>
          <w:sz w:val="18"/>
          <w:szCs w:val="18"/>
          <w:lang w:val="pl-PL"/>
        </w:rPr>
        <w:t>pomoć</w:t>
      </w:r>
      <w:r w:rsidRPr="00292AF4">
        <w:rPr>
          <w:rFonts w:ascii="Calibri" w:hAnsi="Calibri" w:cs="Calibri"/>
          <w:sz w:val="18"/>
          <w:szCs w:val="18"/>
          <w:lang w:val="pl-PL"/>
        </w:rPr>
        <w:t xml:space="preserve"> za sanaciju ili privremena </w:t>
      </w:r>
      <w:r>
        <w:rPr>
          <w:rFonts w:ascii="Calibri" w:hAnsi="Calibri" w:cs="Calibri"/>
          <w:sz w:val="18"/>
          <w:szCs w:val="18"/>
          <w:lang w:val="pl-PL"/>
        </w:rPr>
        <w:t>pomoć</w:t>
      </w:r>
      <w:r w:rsidRPr="00292AF4">
        <w:rPr>
          <w:rFonts w:ascii="Calibri" w:hAnsi="Calibri" w:cs="Calibri"/>
          <w:sz w:val="18"/>
          <w:szCs w:val="18"/>
          <w:lang w:val="pl-PL"/>
        </w:rPr>
        <w:t xml:space="preserve"> za restrukturiranje dodijeljene u skladu s tim Smjernicama i ako nakon te p</w:t>
      </w:r>
      <w:r>
        <w:rPr>
          <w:rFonts w:ascii="Calibri" w:hAnsi="Calibri" w:cs="Calibri"/>
          <w:sz w:val="18"/>
          <w:szCs w:val="18"/>
          <w:lang w:val="pl-PL"/>
        </w:rPr>
        <w:t>omoći</w:t>
      </w:r>
      <w:r w:rsidRPr="00292AF4">
        <w:rPr>
          <w:rFonts w:ascii="Calibri" w:hAnsi="Calibri" w:cs="Calibri"/>
          <w:sz w:val="18"/>
          <w:szCs w:val="18"/>
          <w:lang w:val="pl-PL"/>
        </w:rPr>
        <w:t xml:space="preserve"> nije dodijeljena p</w:t>
      </w:r>
      <w:r>
        <w:rPr>
          <w:rFonts w:ascii="Calibri" w:hAnsi="Calibri" w:cs="Calibri"/>
          <w:sz w:val="18"/>
          <w:szCs w:val="18"/>
          <w:lang w:val="pl-PL"/>
        </w:rPr>
        <w:t>omoć</w:t>
      </w:r>
      <w:r w:rsidRPr="00292AF4">
        <w:rPr>
          <w:rFonts w:ascii="Calibri" w:hAnsi="Calibri" w:cs="Calibri"/>
          <w:sz w:val="18"/>
          <w:szCs w:val="18"/>
          <w:lang w:val="pl-PL"/>
        </w:rPr>
        <w:t xml:space="preserve"> za restrukturiranje, ako: i. u trenutku dodjele p</w:t>
      </w:r>
      <w:r>
        <w:rPr>
          <w:rFonts w:ascii="Calibri" w:hAnsi="Calibri" w:cs="Calibri"/>
          <w:sz w:val="18"/>
          <w:szCs w:val="18"/>
          <w:lang w:val="pl-PL"/>
        </w:rPr>
        <w:t>omoći</w:t>
      </w:r>
      <w:r w:rsidRPr="00292AF4">
        <w:rPr>
          <w:rFonts w:ascii="Calibri" w:hAnsi="Calibri" w:cs="Calibri"/>
          <w:sz w:val="18"/>
          <w:szCs w:val="18"/>
          <w:lang w:val="pl-PL"/>
        </w:rPr>
        <w:t xml:space="preserve"> na </w:t>
      </w:r>
      <w:r>
        <w:rPr>
          <w:rFonts w:ascii="Calibri" w:hAnsi="Calibri" w:cs="Calibri"/>
          <w:sz w:val="18"/>
          <w:szCs w:val="18"/>
          <w:lang w:val="pl-PL"/>
        </w:rPr>
        <w:t>osnovu</w:t>
      </w:r>
      <w:r w:rsidRPr="00292AF4">
        <w:rPr>
          <w:rFonts w:ascii="Calibri" w:hAnsi="Calibri" w:cs="Calibri"/>
          <w:sz w:val="18"/>
          <w:szCs w:val="18"/>
          <w:lang w:val="pl-PL"/>
        </w:rPr>
        <w:t xml:space="preserve"> tih Smjernica razumno se moglo smatrati da će korisnik biti </w:t>
      </w:r>
      <w:r>
        <w:rPr>
          <w:rFonts w:ascii="Calibri" w:hAnsi="Calibri" w:cs="Calibri"/>
          <w:sz w:val="18"/>
          <w:szCs w:val="18"/>
          <w:lang w:val="pl-PL"/>
        </w:rPr>
        <w:t>dugoročno održiv</w:t>
      </w:r>
      <w:r w:rsidRPr="00292AF4">
        <w:rPr>
          <w:rFonts w:ascii="Calibri" w:hAnsi="Calibri" w:cs="Calibri"/>
          <w:sz w:val="18"/>
          <w:szCs w:val="18"/>
          <w:lang w:val="pl-PL"/>
        </w:rPr>
        <w:t xml:space="preserve"> i ii. nova po</w:t>
      </w:r>
      <w:r>
        <w:rPr>
          <w:rFonts w:ascii="Calibri" w:hAnsi="Calibri" w:cs="Calibri"/>
          <w:sz w:val="18"/>
          <w:szCs w:val="18"/>
          <w:lang w:val="pl-PL"/>
        </w:rPr>
        <w:t>moć</w:t>
      </w:r>
      <w:r w:rsidRPr="00292AF4">
        <w:rPr>
          <w:rFonts w:ascii="Calibri" w:hAnsi="Calibri" w:cs="Calibri"/>
          <w:sz w:val="18"/>
          <w:szCs w:val="18"/>
          <w:lang w:val="pl-PL"/>
        </w:rPr>
        <w:t xml:space="preserve"> za sanaciju ili restrukturiranje ili privremena </w:t>
      </w:r>
      <w:r>
        <w:rPr>
          <w:rFonts w:ascii="Calibri" w:hAnsi="Calibri" w:cs="Calibri"/>
          <w:sz w:val="18"/>
          <w:szCs w:val="18"/>
          <w:lang w:val="pl-PL"/>
        </w:rPr>
        <w:t>pomoć</w:t>
      </w:r>
      <w:r w:rsidRPr="00292AF4">
        <w:rPr>
          <w:rFonts w:ascii="Calibri" w:hAnsi="Calibri" w:cs="Calibri"/>
          <w:sz w:val="18"/>
          <w:szCs w:val="18"/>
          <w:lang w:val="pl-PL"/>
        </w:rPr>
        <w:t xml:space="preserve"> za restrukturiranje postaje potrebna nakon barem pet godina zbog nepredvidivih okolnosti za koje </w:t>
      </w:r>
      <w:r>
        <w:rPr>
          <w:rFonts w:ascii="Calibri" w:hAnsi="Calibri" w:cs="Calibri"/>
          <w:sz w:val="18"/>
          <w:szCs w:val="18"/>
          <w:lang w:val="pl-PL"/>
        </w:rPr>
        <w:t>korisnik nije odgovoran; (d) u vanredni</w:t>
      </w:r>
      <w:r w:rsidRPr="00292AF4">
        <w:rPr>
          <w:rFonts w:ascii="Calibri" w:hAnsi="Calibri" w:cs="Calibri"/>
          <w:sz w:val="18"/>
          <w:szCs w:val="18"/>
          <w:lang w:val="pl-PL"/>
        </w:rPr>
        <w:t>m i nepredvidivim okolnostima za koje korisnik nije odgovoran.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66AE"/>
    <w:multiLevelType w:val="multilevel"/>
    <w:tmpl w:val="A3989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3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184CA8"/>
    <w:multiLevelType w:val="multilevel"/>
    <w:tmpl w:val="20D60444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080" w:firstLine="0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80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firstLine="0"/>
      </w:pPr>
      <w:rPr>
        <w:rFonts w:hint="default"/>
      </w:rPr>
    </w:lvl>
  </w:abstractNum>
  <w:abstractNum w:abstractNumId="2" w15:restartNumberingAfterBreak="0">
    <w:nsid w:val="16ED3883"/>
    <w:multiLevelType w:val="hybridMultilevel"/>
    <w:tmpl w:val="7452D722"/>
    <w:lvl w:ilvl="0" w:tplc="9DECCFF4">
      <w:start w:val="1"/>
      <w:numFmt w:val="upperLetter"/>
      <w:lvlText w:val="%1)"/>
      <w:lvlJc w:val="left"/>
      <w:pPr>
        <w:tabs>
          <w:tab w:val="num" w:pos="360"/>
        </w:tabs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D7665"/>
    <w:multiLevelType w:val="hybridMultilevel"/>
    <w:tmpl w:val="1A324F7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34317"/>
    <w:multiLevelType w:val="multilevel"/>
    <w:tmpl w:val="4792F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6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EB1418E"/>
    <w:multiLevelType w:val="hybridMultilevel"/>
    <w:tmpl w:val="29F0312A"/>
    <w:lvl w:ilvl="0" w:tplc="1EFE3DB2">
      <w:start w:val="1"/>
      <w:numFmt w:val="upperLetter"/>
      <w:lvlText w:val="%1)"/>
      <w:lvlJc w:val="left"/>
      <w:pPr>
        <w:tabs>
          <w:tab w:val="num" w:pos="360"/>
        </w:tabs>
        <w:ind w:left="1418" w:hanging="360"/>
      </w:pPr>
      <w:rPr>
        <w:rFonts w:hint="default"/>
        <w:b/>
        <w:i w:val="0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10894"/>
    <w:multiLevelType w:val="hybridMultilevel"/>
    <w:tmpl w:val="10BC4CA4"/>
    <w:lvl w:ilvl="0" w:tplc="132E4A54">
      <w:start w:val="1"/>
      <w:numFmt w:val="upperLetter"/>
      <w:lvlText w:val="%1)"/>
      <w:lvlJc w:val="left"/>
      <w:pPr>
        <w:tabs>
          <w:tab w:val="num" w:pos="360"/>
        </w:tabs>
        <w:ind w:left="144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91378"/>
    <w:multiLevelType w:val="hybridMultilevel"/>
    <w:tmpl w:val="2878C886"/>
    <w:lvl w:ilvl="0" w:tplc="6A58108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B22BD"/>
    <w:multiLevelType w:val="hybridMultilevel"/>
    <w:tmpl w:val="AB54475A"/>
    <w:lvl w:ilvl="0" w:tplc="3D183D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D510A8D"/>
    <w:multiLevelType w:val="hybridMultilevel"/>
    <w:tmpl w:val="A156E946"/>
    <w:lvl w:ilvl="0" w:tplc="7CB0DBAA">
      <w:start w:val="1"/>
      <w:numFmt w:val="upperLetter"/>
      <w:lvlText w:val="%1)"/>
      <w:lvlJc w:val="left"/>
      <w:pPr>
        <w:tabs>
          <w:tab w:val="num" w:pos="360"/>
        </w:tabs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35184"/>
    <w:multiLevelType w:val="hybridMultilevel"/>
    <w:tmpl w:val="6FBACF9C"/>
    <w:lvl w:ilvl="0" w:tplc="6A5810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7"/>
  </w:num>
  <w:num w:numId="9">
    <w:abstractNumId w:val="3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3"/>
    <w:rsid w:val="001E27D7"/>
    <w:rsid w:val="0032112B"/>
    <w:rsid w:val="004C5BF3"/>
    <w:rsid w:val="0078005A"/>
    <w:rsid w:val="007A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CEF14"/>
  <w15:chartTrackingRefBased/>
  <w15:docId w15:val="{F87C938E-E126-49EF-B627-04D41193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4C5BF3"/>
    <w:pPr>
      <w:spacing w:before="120" w:after="8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4C5BF3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aliases w:val="Footnote,Footnote symbol,Nota,Footnote number,de nota al pie,Ref,Char,SUPERS,Voetnootmarkering,Char1,fr,o,(NECG) Footnote Reference,Times 10 Point,Exposant 3 Point,Footnote Reference Number,Footnote reference number,FR, Char, Char1,F"/>
    <w:link w:val="SUPERSChar"/>
    <w:rsid w:val="004C5BF3"/>
    <w:rPr>
      <w:vertAlign w:val="superscript"/>
    </w:rPr>
  </w:style>
  <w:style w:type="paragraph" w:customStyle="1" w:styleId="SUPERSChar">
    <w:name w:val="SUPERS Char"/>
    <w:aliases w:val="EN Footnote Reference Char"/>
    <w:basedOn w:val="Normal"/>
    <w:link w:val="FootnoteReference"/>
    <w:rsid w:val="004C5BF3"/>
    <w:pPr>
      <w:spacing w:before="120" w:line="240" w:lineRule="exact"/>
      <w:ind w:left="720" w:hanging="720"/>
      <w:jc w:val="both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1294</Words>
  <Characters>7382</Characters>
  <Application>Microsoft Office Word</Application>
  <DocSecurity>0</DocSecurity>
  <Lines>61</Lines>
  <Paragraphs>17</Paragraphs>
  <ScaleCrop>false</ScaleCrop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Ivovic</dc:creator>
  <cp:keywords/>
  <dc:description/>
  <cp:lastModifiedBy>Suzana Ivovic</cp:lastModifiedBy>
  <cp:revision>3</cp:revision>
  <dcterms:created xsi:type="dcterms:W3CDTF">2026-03-26T11:46:00Z</dcterms:created>
  <dcterms:modified xsi:type="dcterms:W3CDTF">2026-03-26T11:51:00Z</dcterms:modified>
</cp:coreProperties>
</file>