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D3908" w14:textId="77777777" w:rsidR="003D725A" w:rsidRPr="0086255B" w:rsidRDefault="003D725A" w:rsidP="003D725A">
      <w:pPr>
        <w:spacing w:before="120" w:after="120"/>
        <w:jc w:val="both"/>
        <w:rPr>
          <w:rFonts w:cstheme="minorHAnsi"/>
          <w:b/>
          <w:lang w:val="hr-HR" w:eastAsia="hr-HR" w:bidi="hr-HR"/>
        </w:rPr>
      </w:pPr>
      <w:r w:rsidRPr="0086255B">
        <w:rPr>
          <w:rFonts w:cstheme="minorHAnsi"/>
          <w:b/>
          <w:lang w:val="hr-HR" w:eastAsia="hr-HR" w:bidi="hr-HR"/>
        </w:rPr>
        <w:t>Obrazac 4c - Obrazac o dodatnim podacima o pomoći za sanaciju, restrukturiranje i/ili privremenoj pomoći za restrukturiranje: šeme pomoći</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D725A" w:rsidRPr="0086255B" w14:paraId="39CC427C"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4AA1BC93" w14:textId="77777777" w:rsidR="003D725A" w:rsidRPr="0086255B" w:rsidRDefault="003D725A" w:rsidP="00D507D9">
            <w:pPr>
              <w:keepNext/>
              <w:keepLines/>
              <w:spacing w:before="120" w:after="120"/>
              <w:jc w:val="both"/>
              <w:outlineLvl w:val="1"/>
              <w:rPr>
                <w:rFonts w:eastAsia="Times New Roman" w:cstheme="minorHAnsi"/>
                <w:b/>
                <w:bCs/>
                <w:lang w:val="hr-HR" w:eastAsia="hr-HR" w:bidi="hr-HR"/>
              </w:rPr>
            </w:pPr>
            <w:bookmarkStart w:id="0" w:name="_Toc414370361"/>
            <w:bookmarkStart w:id="1" w:name="_Toc416949013"/>
            <w:r w:rsidRPr="0086255B">
              <w:rPr>
                <w:rFonts w:eastAsia="Times New Roman" w:cstheme="minorHAnsi"/>
                <w:b/>
                <w:bCs/>
                <w:lang w:val="hr-HR" w:eastAsia="hr-HR" w:bidi="hr-HR"/>
              </w:rPr>
              <w:t>Dio III.3.C – Obrazac o dodatnim podacima o pomoći za sanaciju, restrukturiranje i/ili privremenoj pomoći za restrukturiranje: šeme pomoć</w:t>
            </w:r>
            <w:bookmarkEnd w:id="0"/>
            <w:bookmarkEnd w:id="1"/>
            <w:r w:rsidRPr="0086255B">
              <w:rPr>
                <w:rFonts w:eastAsia="Times New Roman" w:cstheme="minorHAnsi"/>
                <w:b/>
                <w:bCs/>
                <w:lang w:val="hr-HR" w:eastAsia="hr-HR" w:bidi="hr-HR"/>
              </w:rPr>
              <w:t>i</w:t>
            </w:r>
          </w:p>
        </w:tc>
      </w:tr>
    </w:tbl>
    <w:p w14:paraId="6C1F6091" w14:textId="77777777" w:rsidR="003D725A" w:rsidRPr="0086255B" w:rsidRDefault="003D725A" w:rsidP="003D725A">
      <w:pPr>
        <w:widowControl w:val="0"/>
        <w:spacing w:before="120" w:after="120"/>
        <w:jc w:val="both"/>
        <w:rPr>
          <w:rFonts w:cstheme="minorHAnsi"/>
          <w:iCs/>
          <w:shd w:val="clear" w:color="auto" w:fill="FFFFFF"/>
          <w:lang w:val="hr-HR" w:eastAsia="hr-HR" w:bidi="hr-HR"/>
        </w:rPr>
      </w:pPr>
      <w:r w:rsidRPr="0086255B">
        <w:rPr>
          <w:rFonts w:cstheme="minorHAnsi"/>
          <w:iCs/>
          <w:lang w:val="hr-HR" w:eastAsia="hr-HR" w:bidi="hr-HR"/>
        </w:rPr>
        <w:t xml:space="preserve">Ovaj obrazac o dodatnim podacima mora se popuniti u vezi sa </w:t>
      </w:r>
      <w:r w:rsidRPr="0086255B">
        <w:rPr>
          <w:rFonts w:cstheme="minorHAnsi"/>
          <w:shd w:val="clear" w:color="auto" w:fill="FFFFFF"/>
          <w:lang w:val="hr-HR" w:eastAsia="hr-HR" w:bidi="hr-HR"/>
        </w:rPr>
        <w:t>pomoći za sanaciju, pomoći za restrukturiranje i šemama privremene pomoći za restrukturiranje koje su obuhvaćene Smjernicama o državnoj pomoći za sanaciju i restrukturiranje nefinansijskih privrednih društava u poteškoćama</w:t>
      </w:r>
      <w:r w:rsidRPr="0086255B">
        <w:rPr>
          <w:rFonts w:cstheme="minorHAnsi"/>
          <w:iCs/>
          <w:shd w:val="clear" w:color="auto" w:fill="FFFFFF"/>
          <w:vertAlign w:val="superscript"/>
          <w:lang w:val="hr-HR" w:eastAsia="hr-HR" w:bidi="hr-HR"/>
        </w:rPr>
        <w:footnoteReference w:id="1"/>
      </w:r>
      <w:r w:rsidRPr="0086255B">
        <w:rPr>
          <w:rFonts w:cstheme="minorHAnsi"/>
          <w:shd w:val="clear" w:color="auto" w:fill="FFFFFF"/>
          <w:lang w:val="hr-HR" w:eastAsia="hr-HR" w:bidi="hr-HR"/>
        </w:rPr>
        <w:t xml:space="preserve"> („Smjernice”).</w:t>
      </w:r>
      <w:r w:rsidRPr="0086255B">
        <w:rPr>
          <w:rFonts w:cstheme="minorHAnsi"/>
          <w:iCs/>
          <w:lang w:val="hr-HR" w:eastAsia="hr-HR" w:bidi="hr-HR"/>
        </w:rPr>
        <w:t xml:space="preserve"> </w:t>
      </w:r>
    </w:p>
    <w:tbl>
      <w:tblPr>
        <w:tblW w:w="921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3D725A" w:rsidRPr="0086255B" w14:paraId="4AC29451" w14:textId="77777777" w:rsidTr="00D507D9">
        <w:trPr>
          <w:jc w:val="center"/>
        </w:trPr>
        <w:tc>
          <w:tcPr>
            <w:tcW w:w="9214" w:type="dxa"/>
            <w:tcBorders>
              <w:top w:val="single" w:sz="4" w:space="0" w:color="auto"/>
              <w:left w:val="single" w:sz="4" w:space="0" w:color="auto"/>
              <w:bottom w:val="single" w:sz="4" w:space="0" w:color="auto"/>
              <w:right w:val="single" w:sz="4" w:space="0" w:color="auto"/>
            </w:tcBorders>
            <w:shd w:val="pct15" w:color="auto" w:fill="FFFFFF"/>
          </w:tcPr>
          <w:p w14:paraId="0AC88C7F" w14:textId="77777777" w:rsidR="003D725A" w:rsidRPr="0086255B" w:rsidRDefault="003D725A" w:rsidP="003D725A">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Područje primjene šeme</w:t>
            </w:r>
          </w:p>
        </w:tc>
      </w:tr>
    </w:tbl>
    <w:p w14:paraId="25C0B966" w14:textId="77777777" w:rsidR="003D725A" w:rsidRPr="0086255B" w:rsidRDefault="003D725A" w:rsidP="003D725A">
      <w:pPr>
        <w:numPr>
          <w:ilvl w:val="1"/>
          <w:numId w:val="2"/>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Da li se šema odnosi na pružanje:</w:t>
      </w:r>
    </w:p>
    <w:p w14:paraId="6D954CF4" w14:textId="77777777" w:rsidR="003D725A" w:rsidRPr="0086255B" w:rsidRDefault="003D725A" w:rsidP="003D725A">
      <w:pPr>
        <w:widowControl w:val="0"/>
        <w:numPr>
          <w:ilvl w:val="0"/>
          <w:numId w:val="3"/>
        </w:numPr>
        <w:tabs>
          <w:tab w:val="left" w:pos="709"/>
        </w:tabs>
        <w:spacing w:before="120" w:after="120" w:line="240" w:lineRule="auto"/>
        <w:jc w:val="both"/>
        <w:rPr>
          <w:rFonts w:cstheme="minorHAnsi"/>
          <w:bCs/>
          <w:lang w:val="hr-HR" w:eastAsia="hr-HR" w:bidi="hr-HR"/>
        </w:rPr>
      </w:pPr>
      <w:r w:rsidRPr="0086255B">
        <w:rPr>
          <w:rFonts w:cstheme="minorHAnsi"/>
          <w:shd w:val="clear" w:color="auto" w:fill="FFFFFF"/>
          <w:lang w:val="hr-HR" w:eastAsia="hr-HR" w:bidi="hr-HR"/>
        </w:rPr>
        <w:t xml:space="preserve">pomoći za sanaciju: </w:t>
      </w:r>
      <w:r w:rsidRPr="0086255B">
        <w:rPr>
          <w:rFonts w:cstheme="minorHAnsi"/>
          <w:b/>
          <w:bCs/>
          <w:lang w:val="hr-HR" w:eastAsia="hr-HR" w:bidi="hr-HR"/>
        </w:rPr>
        <w:tab/>
      </w:r>
      <w:r w:rsidRPr="0086255B">
        <w:rPr>
          <w:rFonts w:cstheme="minorHAnsi"/>
          <w:b/>
          <w:bCs/>
          <w:lang w:val="hr-HR" w:eastAsia="hr-HR" w:bidi="hr-HR"/>
        </w:rPr>
        <w:tab/>
      </w:r>
      <w:r w:rsidRPr="0086255B">
        <w:rPr>
          <w:rFonts w:cstheme="minorHAnsi"/>
          <w:b/>
          <w:bCs/>
          <w:lang w:val="hr-HR" w:eastAsia="hr-HR" w:bidi="hr-HR"/>
        </w:rPr>
        <w:tab/>
      </w:r>
      <w:r w:rsidRPr="0086255B">
        <w:rPr>
          <w:rFonts w:cstheme="minorHAnsi"/>
          <w:b/>
          <w:bCs/>
          <w:lang w:val="hr-HR" w:eastAsia="hr-HR" w:bidi="hr-HR"/>
        </w:rPr>
        <w:tab/>
      </w:r>
      <w:r w:rsidRPr="0086255B">
        <w:rPr>
          <w:rFonts w:cstheme="minorHAnsi"/>
          <w:b/>
          <w:bCs/>
          <w:lang w:val="hr-HR" w:eastAsia="hr-HR" w:bidi="hr-HR"/>
        </w:rPr>
        <w:tab/>
      </w:r>
      <w:r w:rsidRPr="0086255B">
        <w:rPr>
          <w:rFonts w:cstheme="minorHAnsi"/>
          <w:b/>
          <w:bCs/>
          <w:lang w:val="hr-HR" w:eastAsia="hr-HR" w:bidi="hr-HR"/>
        </w:rPr>
        <w:tab/>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da          </w:t>
      </w: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ne</w:t>
      </w:r>
    </w:p>
    <w:p w14:paraId="13B610BF" w14:textId="77777777" w:rsidR="003D725A" w:rsidRPr="0086255B" w:rsidRDefault="003D725A" w:rsidP="003D725A">
      <w:pPr>
        <w:numPr>
          <w:ilvl w:val="0"/>
          <w:numId w:val="3"/>
        </w:numPr>
        <w:tabs>
          <w:tab w:val="left" w:pos="720"/>
          <w:tab w:val="left" w:pos="1077"/>
          <w:tab w:val="left" w:pos="1440"/>
          <w:tab w:val="left" w:pos="1797"/>
        </w:tabs>
        <w:spacing w:before="120" w:after="120" w:line="240" w:lineRule="auto"/>
        <w:jc w:val="both"/>
        <w:rPr>
          <w:rFonts w:cstheme="minorHAnsi"/>
          <w:lang w:val="hr-HR" w:eastAsia="hr-HR" w:bidi="hr-HR"/>
        </w:rPr>
      </w:pPr>
      <w:r w:rsidRPr="0086255B">
        <w:rPr>
          <w:rFonts w:cstheme="minorHAnsi"/>
          <w:bCs/>
          <w:shd w:val="clear" w:color="auto" w:fill="FFFFFF"/>
          <w:lang w:val="hr-HR" w:eastAsia="hr-HR" w:bidi="hr-HR"/>
        </w:rPr>
        <w:t xml:space="preserve">pomoći za restrukturiranje: </w:t>
      </w:r>
      <w:r w:rsidRPr="0086255B">
        <w:rPr>
          <w:rFonts w:cstheme="minorHAnsi"/>
          <w:lang w:val="hr-HR" w:eastAsia="hr-HR" w:bidi="hr-HR"/>
        </w:rPr>
        <w:tab/>
      </w:r>
      <w:r w:rsidRPr="0086255B">
        <w:rPr>
          <w:rFonts w:cstheme="minorHAnsi"/>
          <w:lang w:val="hr-HR" w:eastAsia="hr-HR" w:bidi="hr-HR"/>
        </w:rPr>
        <w:tab/>
      </w:r>
      <w:r w:rsidRPr="0086255B">
        <w:rPr>
          <w:rFonts w:cstheme="minorHAnsi"/>
          <w:lang w:val="hr-HR" w:eastAsia="hr-HR" w:bidi="hr-HR"/>
        </w:rPr>
        <w:tab/>
      </w:r>
      <w:r w:rsidRPr="0086255B">
        <w:rPr>
          <w:rFonts w:cstheme="minorHAnsi"/>
          <w:lang w:val="hr-HR" w:eastAsia="hr-HR" w:bidi="hr-HR"/>
        </w:rPr>
        <w:tab/>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AAD3CA3" w14:textId="77777777" w:rsidR="003D725A" w:rsidRPr="0086255B" w:rsidRDefault="003D725A" w:rsidP="003D725A">
      <w:pPr>
        <w:numPr>
          <w:ilvl w:val="0"/>
          <w:numId w:val="3"/>
        </w:numPr>
        <w:tabs>
          <w:tab w:val="left" w:pos="720"/>
          <w:tab w:val="left" w:pos="1077"/>
          <w:tab w:val="left" w:pos="1440"/>
          <w:tab w:val="left" w:pos="1797"/>
        </w:tabs>
        <w:spacing w:before="120" w:after="120" w:line="240" w:lineRule="auto"/>
        <w:jc w:val="both"/>
        <w:rPr>
          <w:rFonts w:cstheme="minorHAnsi"/>
          <w:lang w:val="hr-HR" w:eastAsia="hr-HR" w:bidi="hr-HR"/>
        </w:rPr>
      </w:pPr>
      <w:r w:rsidRPr="0086255B">
        <w:rPr>
          <w:rFonts w:cstheme="minorHAnsi"/>
          <w:bCs/>
          <w:shd w:val="clear" w:color="auto" w:fill="FFFFFF"/>
          <w:lang w:val="hr-HR" w:eastAsia="hr-HR" w:bidi="hr-HR"/>
        </w:rPr>
        <w:t xml:space="preserve">privremene pomoći za restrukturiranje: </w:t>
      </w:r>
      <w:r w:rsidRPr="0086255B">
        <w:rPr>
          <w:rFonts w:cstheme="minorHAnsi"/>
          <w:lang w:val="hr-HR" w:eastAsia="hr-HR" w:bidi="hr-HR"/>
        </w:rPr>
        <w:tab/>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D725A" w:rsidRPr="0086255B" w14:paraId="4D035FC8"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72FC1D77" w14:textId="77777777" w:rsidR="003D725A" w:rsidRPr="0086255B" w:rsidRDefault="003D725A" w:rsidP="003D725A">
            <w:pPr>
              <w:keepNext/>
              <w:numPr>
                <w:ilvl w:val="0"/>
                <w:numId w:val="1"/>
              </w:numPr>
              <w:tabs>
                <w:tab w:val="left" w:pos="720"/>
                <w:tab w:val="left" w:pos="1077"/>
                <w:tab w:val="left" w:pos="1440"/>
                <w:tab w:val="left" w:pos="1797"/>
              </w:tabs>
              <w:spacing w:before="120" w:after="120" w:line="240" w:lineRule="auto"/>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Prihvatljivost</w:t>
            </w:r>
          </w:p>
        </w:tc>
      </w:tr>
    </w:tbl>
    <w:p w14:paraId="157E57BF" w14:textId="77777777" w:rsidR="003D725A" w:rsidRPr="0086255B" w:rsidRDefault="003D725A" w:rsidP="003D725A">
      <w:pPr>
        <w:numPr>
          <w:ilvl w:val="1"/>
          <w:numId w:val="4"/>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Da li je šema ograničena na MSP-ove</w:t>
      </w:r>
      <w:r w:rsidRPr="0086255B">
        <w:rPr>
          <w:rFonts w:cstheme="minorHAnsi"/>
          <w:b/>
          <w:vertAlign w:val="superscript"/>
          <w:lang w:val="hr-HR" w:eastAsia="hr-HR" w:bidi="hr-HR"/>
        </w:rPr>
        <w:footnoteReference w:id="2"/>
      </w:r>
      <w:r w:rsidRPr="0086255B">
        <w:rPr>
          <w:rFonts w:cstheme="minorHAnsi"/>
          <w:b/>
          <w:lang w:val="hr-HR" w:eastAsia="hr-HR" w:bidi="hr-HR"/>
        </w:rPr>
        <w:t xml:space="preserve"> u poteškoćama ili manja privredna društva u državnom vlasništvu u poteškoćama</w:t>
      </w:r>
      <w:r w:rsidRPr="0086255B">
        <w:rPr>
          <w:rFonts w:cstheme="minorHAnsi"/>
          <w:b/>
          <w:vertAlign w:val="superscript"/>
          <w:lang w:val="hr-HR" w:eastAsia="hr-HR" w:bidi="hr-HR"/>
        </w:rPr>
        <w:footnoteReference w:id="3"/>
      </w:r>
      <w:r w:rsidRPr="0086255B">
        <w:rPr>
          <w:rFonts w:cstheme="minorHAnsi"/>
          <w:b/>
          <w:lang w:val="hr-HR" w:eastAsia="hr-HR" w:bidi="hr-HR"/>
        </w:rPr>
        <w:t xml:space="preserve"> (dalje u tekstu zajedno „MSP ” ako nije navedeno drugačije)?</w:t>
      </w:r>
    </w:p>
    <w:p w14:paraId="2AF8F6EE"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C25D94F" w14:textId="77777777" w:rsidR="003D725A" w:rsidRPr="0086255B" w:rsidRDefault="003D725A" w:rsidP="003D725A">
      <w:pPr>
        <w:numPr>
          <w:ilvl w:val="1"/>
          <w:numId w:val="4"/>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Da li je šema ograničena na MSP koja ispunjavaju jedan od sljedećih kriterijuma prihvatljivosti:</w:t>
      </w:r>
    </w:p>
    <w:p w14:paraId="430E852A" w14:textId="77777777" w:rsidR="003D725A" w:rsidRPr="0086255B" w:rsidRDefault="003D725A" w:rsidP="003D725A">
      <w:pPr>
        <w:numPr>
          <w:ilvl w:val="0"/>
          <w:numId w:val="5"/>
        </w:numPr>
        <w:spacing w:before="120" w:after="120" w:line="240" w:lineRule="auto"/>
        <w:jc w:val="both"/>
        <w:rPr>
          <w:rFonts w:cstheme="minorHAnsi"/>
          <w:lang w:val="hr-HR" w:eastAsia="hr-HR" w:bidi="hr-HR"/>
        </w:rPr>
      </w:pPr>
      <w:r w:rsidRPr="0086255B">
        <w:rPr>
          <w:rFonts w:cstheme="minorHAnsi"/>
          <w:lang w:val="hr-HR" w:eastAsia="hr-HR" w:bidi="hr-HR"/>
        </w:rPr>
        <w:t xml:space="preserve">U odnosu na MSP koja su društva sa ograničenom odgovornošću </w:t>
      </w:r>
      <w:r w:rsidRPr="0086255B">
        <w:rPr>
          <w:rFonts w:cstheme="minorHAnsi"/>
          <w:vertAlign w:val="superscript"/>
          <w:lang w:val="hr-HR" w:eastAsia="hr-HR" w:bidi="hr-HR"/>
        </w:rPr>
        <w:footnoteReference w:id="4"/>
      </w:r>
      <w:r w:rsidRPr="0086255B">
        <w:rPr>
          <w:rFonts w:cstheme="minorHAnsi"/>
          <w:lang w:val="hr-HR" w:eastAsia="hr-HR" w:bidi="hr-HR"/>
        </w:rPr>
        <w:t>: više od polovine  upisanog osnovnog kapitala izgubljeno je zbog akumuliranih gubitaka</w:t>
      </w:r>
      <w:r w:rsidRPr="0086255B">
        <w:rPr>
          <w:rFonts w:cstheme="minorHAnsi"/>
          <w:vertAlign w:val="superscript"/>
          <w:lang w:val="hr-HR" w:eastAsia="hr-HR" w:bidi="hr-HR"/>
        </w:rPr>
        <w:footnoteReference w:id="5"/>
      </w:r>
      <w:r w:rsidRPr="0086255B">
        <w:rPr>
          <w:rFonts w:cstheme="minorHAnsi"/>
          <w:lang w:val="hr-HR" w:eastAsia="hr-HR" w:bidi="hr-HR"/>
        </w:rPr>
        <w:t xml:space="preserve">? </w:t>
      </w:r>
    </w:p>
    <w:p w14:paraId="1F177174"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16836C5" w14:textId="77777777" w:rsidR="003D725A" w:rsidRPr="0086255B" w:rsidRDefault="003D725A" w:rsidP="003D725A">
      <w:pPr>
        <w:numPr>
          <w:ilvl w:val="0"/>
          <w:numId w:val="5"/>
        </w:numPr>
        <w:spacing w:before="120" w:after="120" w:line="240" w:lineRule="auto"/>
        <w:jc w:val="both"/>
        <w:rPr>
          <w:rFonts w:cstheme="minorHAnsi"/>
          <w:lang w:val="hr-HR" w:eastAsia="hr-HR" w:bidi="hr-HR"/>
        </w:rPr>
      </w:pPr>
      <w:r w:rsidRPr="0086255B">
        <w:rPr>
          <w:rFonts w:cstheme="minorHAnsi"/>
          <w:lang w:val="hr-HR" w:eastAsia="hr-HR" w:bidi="hr-HR"/>
        </w:rPr>
        <w:lastRenderedPageBreak/>
        <w:t>MSP koja su društva u kojima najmanje nekoliko članova snosi neograničenu odgovornost za dug društva</w:t>
      </w:r>
      <w:r w:rsidRPr="0086255B">
        <w:rPr>
          <w:rFonts w:cstheme="minorHAnsi"/>
          <w:vertAlign w:val="superscript"/>
          <w:lang w:val="hr-HR" w:eastAsia="hr-HR" w:bidi="hr-HR"/>
        </w:rPr>
        <w:footnoteReference w:id="6"/>
      </w:r>
      <w:r w:rsidRPr="0086255B">
        <w:rPr>
          <w:rFonts w:cstheme="minorHAnsi"/>
          <w:lang w:val="hr-HR" w:eastAsia="hr-HR" w:bidi="hr-HR"/>
        </w:rPr>
        <w:t xml:space="preserve"> – više od polovine kapitala prikazanog u finansijskom izvještaju društva izgubljeno je zbog akumuliranih gubitaka?</w:t>
      </w:r>
    </w:p>
    <w:p w14:paraId="760A1647"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C05A583" w14:textId="77777777" w:rsidR="003D725A" w:rsidRPr="0086255B" w:rsidRDefault="003D725A" w:rsidP="003D725A">
      <w:pPr>
        <w:numPr>
          <w:ilvl w:val="0"/>
          <w:numId w:val="5"/>
        </w:numPr>
        <w:spacing w:before="120" w:after="120" w:line="240" w:lineRule="auto"/>
        <w:jc w:val="both"/>
        <w:rPr>
          <w:rFonts w:cstheme="minorHAnsi"/>
          <w:lang w:val="hr-HR" w:eastAsia="hr-HR" w:bidi="hr-HR"/>
        </w:rPr>
      </w:pPr>
      <w:r w:rsidRPr="0086255B">
        <w:rPr>
          <w:rFonts w:cstheme="minorHAnsi"/>
          <w:lang w:val="hr-HR" w:eastAsia="hr-HR" w:bidi="hr-HR"/>
        </w:rPr>
        <w:t>MSP koja su predmet cjelokupnog stečajnog postupka ili u skladu s nacionalnim zakonodavstvom ispunjavaju kriterijume za pokretanje cjelokupnog stečajnog postupka na zahtjev njihovih povjerilaca?</w:t>
      </w:r>
    </w:p>
    <w:p w14:paraId="7FAB9F60"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60E31C3" w14:textId="77777777" w:rsidR="003D725A" w:rsidRPr="0086255B" w:rsidRDefault="003D725A" w:rsidP="003D725A">
      <w:pPr>
        <w:numPr>
          <w:ilvl w:val="0"/>
          <w:numId w:val="5"/>
        </w:numPr>
        <w:spacing w:before="120" w:after="120" w:line="240" w:lineRule="auto"/>
        <w:jc w:val="both"/>
        <w:rPr>
          <w:rFonts w:cstheme="minorHAnsi"/>
          <w:lang w:val="hr-HR" w:eastAsia="hr-HR" w:bidi="hr-HR"/>
        </w:rPr>
      </w:pPr>
      <w:r w:rsidRPr="0086255B">
        <w:rPr>
          <w:rFonts w:cstheme="minorHAnsi"/>
          <w:lang w:val="hr-HR" w:eastAsia="hr-HR" w:bidi="hr-HR"/>
        </w:rPr>
        <w:t>U odnosu na manja privredna društva u državnom vlasništvu – odnos knjigovodstvenog duga i kapitala privrednog društva bio je veći od 7,5 i EBITDA koeficijent pokrića kamata privrednog društva bio je niži od 1,0 tokom posljednje dvije godine?</w:t>
      </w:r>
    </w:p>
    <w:p w14:paraId="19980AD7"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8E49D76" w14:textId="77777777" w:rsidR="003D725A" w:rsidRPr="0086255B" w:rsidRDefault="003D725A" w:rsidP="003D725A">
      <w:pPr>
        <w:numPr>
          <w:ilvl w:val="1"/>
          <w:numId w:val="4"/>
        </w:numPr>
        <w:spacing w:before="120" w:after="120" w:line="240" w:lineRule="auto"/>
        <w:ind w:left="360" w:hanging="360"/>
        <w:jc w:val="both"/>
        <w:rPr>
          <w:rFonts w:cstheme="minorHAnsi"/>
          <w:b/>
          <w:lang w:val="hr-HR" w:eastAsia="hr-HR" w:bidi="hr-HR"/>
        </w:rPr>
      </w:pPr>
      <w:r w:rsidRPr="0086255B">
        <w:rPr>
          <w:rFonts w:cstheme="minorHAnsi"/>
          <w:lang w:val="hr-HR" w:eastAsia="hr-HR" w:bidi="hr-HR"/>
        </w:rPr>
        <w:t>Da li šema predviđa pomoć za sanaciju ili privremenu pomoć za restrukturiranje ili se obje mogu odobriti MSP-ovima koji se ne mogu smatrati privrednim društvima u poteškoćama, već se samo zbog izuzetnih i nepredviđenih okolnosti suočavaju s ozbiljnim problemom likvidnosti?</w:t>
      </w:r>
    </w:p>
    <w:p w14:paraId="7579C361" w14:textId="77777777" w:rsidR="003D725A" w:rsidRPr="0086255B" w:rsidRDefault="003D725A" w:rsidP="003D725A">
      <w:pPr>
        <w:spacing w:before="100" w:beforeAutospacing="1" w:after="100" w:afterAutospacing="1"/>
        <w:ind w:left="720"/>
        <w:jc w:val="both"/>
        <w:rPr>
          <w:rFonts w:cstheme="minorHAnsi"/>
          <w:b/>
          <w:lang w:val="hr-HR" w:eastAsia="hr-HR" w:bidi="hr-HR"/>
        </w:rPr>
      </w:pPr>
      <w:r w:rsidRPr="0086255B">
        <w:rPr>
          <w:rFonts w:cstheme="minorHAnsi"/>
          <w:b/>
          <w:lang w:val="hr-HR" w:eastAsia="hr-HR" w:bidi="hr-HR"/>
        </w:rPr>
        <w:fldChar w:fldCharType="begin">
          <w:ffData>
            <w:name w:val="Check1"/>
            <w:enabled/>
            <w:calcOnExit w:val="0"/>
            <w:checkBox>
              <w:sizeAuto/>
              <w:default w:val="0"/>
            </w:checkBox>
          </w:ffData>
        </w:fldChar>
      </w:r>
      <w:r w:rsidRPr="0086255B">
        <w:rPr>
          <w:rFonts w:cstheme="minorHAnsi"/>
          <w:b/>
          <w:lang w:val="hr-HR" w:eastAsia="hr-HR" w:bidi="hr-HR"/>
        </w:rPr>
        <w:instrText xml:space="preserve"> FORMCHECKBOX </w:instrText>
      </w:r>
      <w:r>
        <w:rPr>
          <w:rFonts w:cstheme="minorHAnsi"/>
          <w:b/>
          <w:lang w:val="hr-HR" w:eastAsia="hr-HR" w:bidi="hr-HR"/>
        </w:rPr>
      </w:r>
      <w:r>
        <w:rPr>
          <w:rFonts w:cstheme="minorHAnsi"/>
          <w:b/>
          <w:lang w:val="hr-HR" w:eastAsia="hr-HR" w:bidi="hr-HR"/>
        </w:rPr>
        <w:fldChar w:fldCharType="separate"/>
      </w:r>
      <w:r w:rsidRPr="0086255B">
        <w:rPr>
          <w:rFonts w:cstheme="minorHAnsi"/>
          <w:b/>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 xml:space="preserve">da                    </w:t>
      </w:r>
      <w:r w:rsidRPr="0086255B">
        <w:rPr>
          <w:rFonts w:cstheme="minorHAnsi"/>
          <w:b/>
          <w:lang w:val="hr-HR" w:eastAsia="hr-HR" w:bidi="hr-HR"/>
        </w:rPr>
        <w:fldChar w:fldCharType="begin">
          <w:ffData>
            <w:name w:val="Check1"/>
            <w:enabled/>
            <w:calcOnExit w:val="0"/>
            <w:checkBox>
              <w:sizeAuto/>
              <w:default w:val="0"/>
            </w:checkBox>
          </w:ffData>
        </w:fldChar>
      </w:r>
      <w:r w:rsidRPr="0086255B">
        <w:rPr>
          <w:rFonts w:cstheme="minorHAnsi"/>
          <w:b/>
          <w:lang w:val="hr-HR" w:eastAsia="hr-HR" w:bidi="hr-HR"/>
        </w:rPr>
        <w:instrText xml:space="preserve"> FORMCHECKBOX </w:instrText>
      </w:r>
      <w:r>
        <w:rPr>
          <w:rFonts w:cstheme="minorHAnsi"/>
          <w:b/>
          <w:lang w:val="hr-HR" w:eastAsia="hr-HR" w:bidi="hr-HR"/>
        </w:rPr>
      </w:r>
      <w:r>
        <w:rPr>
          <w:rFonts w:cstheme="minorHAnsi"/>
          <w:b/>
          <w:lang w:val="hr-HR" w:eastAsia="hr-HR" w:bidi="hr-HR"/>
        </w:rPr>
        <w:fldChar w:fldCharType="separate"/>
      </w:r>
      <w:r w:rsidRPr="0086255B">
        <w:rPr>
          <w:rFonts w:cstheme="minorHAnsi"/>
          <w:b/>
          <w:lang w:val="hr-HR" w:eastAsia="hr-HR" w:bidi="hr-HR"/>
        </w:rPr>
        <w:fldChar w:fldCharType="end"/>
      </w:r>
      <w:r w:rsidRPr="0086255B">
        <w:rPr>
          <w:rFonts w:cstheme="minorHAnsi"/>
          <w:b/>
          <w:lang w:val="hr-HR" w:eastAsia="hr-HR" w:bidi="hr-HR"/>
        </w:rPr>
        <w:t xml:space="preserve">     </w:t>
      </w:r>
      <w:r w:rsidRPr="0086255B">
        <w:rPr>
          <w:rFonts w:cstheme="minorHAnsi"/>
          <w:lang w:val="hr-HR" w:eastAsia="hr-HR" w:bidi="hr-HR"/>
        </w:rPr>
        <w:t>ne</w:t>
      </w:r>
    </w:p>
    <w:p w14:paraId="5B4968D5" w14:textId="77777777" w:rsidR="003D725A" w:rsidRPr="0086255B" w:rsidRDefault="003D725A" w:rsidP="003D725A">
      <w:pPr>
        <w:numPr>
          <w:ilvl w:val="1"/>
          <w:numId w:val="4"/>
        </w:numPr>
        <w:spacing w:before="120" w:after="120" w:line="240" w:lineRule="auto"/>
        <w:ind w:left="360" w:hanging="360"/>
        <w:jc w:val="both"/>
        <w:rPr>
          <w:rFonts w:cstheme="minorHAnsi"/>
          <w:lang w:val="hr-HR" w:eastAsia="hr-HR" w:bidi="hr-HR"/>
        </w:rPr>
      </w:pPr>
      <w:r w:rsidRPr="0086255B">
        <w:rPr>
          <w:rFonts w:cstheme="minorHAnsi"/>
          <w:lang w:val="hr-HR" w:eastAsia="hr-HR" w:bidi="hr-HR"/>
        </w:rPr>
        <w:t xml:space="preserve">Ako je odgovor na tačku 2.3 potvrdan, objasnite kako će se ocijeniti da li se MSP suočava s ozbiljnim problemima likvidnosti i kakve će se okolnosti smatrati izuzetnim i nepredviđenim.  </w:t>
      </w:r>
    </w:p>
    <w:p w14:paraId="2A479251"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6C4E639" w14:textId="77777777" w:rsidR="003D725A" w:rsidRPr="0086255B" w:rsidRDefault="003D725A" w:rsidP="003D725A">
      <w:pPr>
        <w:numPr>
          <w:ilvl w:val="1"/>
          <w:numId w:val="4"/>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Da li se šema primjenjuje na novoosnovana MSP?</w:t>
      </w:r>
      <w:r w:rsidRPr="0086255B">
        <w:rPr>
          <w:rFonts w:cstheme="minorHAnsi"/>
          <w:lang w:val="hr-HR" w:eastAsia="hr-HR" w:bidi="hr-HR"/>
        </w:rPr>
        <w:tab/>
      </w:r>
    </w:p>
    <w:p w14:paraId="1AC0E669"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5540B7B" w14:textId="77777777" w:rsidR="003D725A" w:rsidRPr="0086255B" w:rsidRDefault="003D725A" w:rsidP="003D725A">
      <w:pPr>
        <w:numPr>
          <w:ilvl w:val="1"/>
          <w:numId w:val="4"/>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Da li se šema primjenjuje na MSP aktivna u sljedećim sektorima:</w:t>
      </w:r>
    </w:p>
    <w:p w14:paraId="34495682" w14:textId="77777777" w:rsidR="003D725A" w:rsidRPr="0086255B" w:rsidRDefault="003D725A" w:rsidP="003D725A">
      <w:pPr>
        <w:numPr>
          <w:ilvl w:val="0"/>
          <w:numId w:val="6"/>
        </w:numPr>
        <w:spacing w:before="120" w:after="120" w:line="240" w:lineRule="auto"/>
        <w:jc w:val="both"/>
        <w:rPr>
          <w:rFonts w:cstheme="minorHAnsi"/>
          <w:lang w:val="hr-HR" w:eastAsia="hr-HR" w:bidi="hr-HR"/>
        </w:rPr>
      </w:pPr>
      <w:r w:rsidRPr="0086255B">
        <w:rPr>
          <w:rFonts w:cstheme="minorHAnsi"/>
          <w:lang w:val="hr-HR" w:eastAsia="hr-HR" w:bidi="hr-HR"/>
        </w:rPr>
        <w:t>sektoru uglja</w:t>
      </w:r>
      <w:r w:rsidRPr="0086255B">
        <w:rPr>
          <w:rFonts w:cstheme="minorHAnsi"/>
          <w:vertAlign w:val="superscript"/>
          <w:lang w:val="hr-HR" w:eastAsia="hr-HR" w:bidi="hr-HR"/>
        </w:rPr>
        <w:footnoteReference w:id="7"/>
      </w: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r w:rsidRPr="0086255B">
        <w:rPr>
          <w:rFonts w:cstheme="minorHAnsi"/>
          <w:lang w:val="hr-HR" w:eastAsia="hr-HR" w:bidi="hr-HR"/>
        </w:rPr>
        <w:tab/>
      </w:r>
    </w:p>
    <w:p w14:paraId="7C88978F" w14:textId="77777777" w:rsidR="003D725A" w:rsidRPr="0086255B" w:rsidRDefault="003D725A" w:rsidP="003D725A">
      <w:pPr>
        <w:numPr>
          <w:ilvl w:val="0"/>
          <w:numId w:val="6"/>
        </w:numPr>
        <w:spacing w:before="120" w:after="120" w:line="240" w:lineRule="auto"/>
        <w:jc w:val="both"/>
        <w:rPr>
          <w:rFonts w:cstheme="minorHAnsi"/>
          <w:lang w:val="hr-HR" w:eastAsia="hr-HR" w:bidi="hr-HR"/>
        </w:rPr>
      </w:pPr>
      <w:r w:rsidRPr="0086255B">
        <w:rPr>
          <w:rFonts w:cstheme="minorHAnsi"/>
          <w:lang w:val="hr-HR" w:eastAsia="hr-HR" w:bidi="hr-HR"/>
        </w:rPr>
        <w:t>sektoru čelika</w:t>
      </w:r>
      <w:r w:rsidRPr="0086255B">
        <w:rPr>
          <w:rFonts w:cstheme="minorHAnsi"/>
          <w:vertAlign w:val="superscript"/>
          <w:lang w:val="hr-HR" w:eastAsia="hr-HR" w:bidi="hr-HR"/>
        </w:rPr>
        <w:footnoteReference w:id="8"/>
      </w: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r w:rsidRPr="0086255B">
        <w:rPr>
          <w:rFonts w:cstheme="minorHAnsi"/>
          <w:lang w:val="hr-HR" w:eastAsia="hr-HR" w:bidi="hr-HR"/>
        </w:rPr>
        <w:tab/>
      </w:r>
    </w:p>
    <w:p w14:paraId="1F2B3D17" w14:textId="77777777" w:rsidR="003D725A" w:rsidRPr="0086255B" w:rsidRDefault="003D725A" w:rsidP="003D725A">
      <w:pPr>
        <w:numPr>
          <w:ilvl w:val="0"/>
          <w:numId w:val="6"/>
        </w:numPr>
        <w:spacing w:before="120" w:after="120" w:line="240" w:lineRule="auto"/>
        <w:jc w:val="both"/>
        <w:rPr>
          <w:rFonts w:cstheme="minorHAnsi"/>
          <w:lang w:val="hr-HR" w:eastAsia="hr-HR" w:bidi="hr-HR"/>
        </w:rPr>
      </w:pPr>
      <w:r w:rsidRPr="0086255B">
        <w:rPr>
          <w:rFonts w:cstheme="minorHAnsi"/>
          <w:lang w:val="hr-HR" w:eastAsia="hr-HR" w:bidi="hr-HR"/>
        </w:rPr>
        <w:t>sektorima obuhvaćenima posebnim pravilima za finansijske institucije</w:t>
      </w:r>
      <w:r w:rsidRPr="0086255B">
        <w:rPr>
          <w:rFonts w:cstheme="minorHAnsi"/>
          <w:vertAlign w:val="superscript"/>
          <w:lang w:val="hr-HR" w:eastAsia="hr-HR" w:bidi="hr-HR"/>
        </w:rPr>
        <w:footnoteReference w:id="9"/>
      </w:r>
      <w:r w:rsidRPr="0086255B">
        <w:rPr>
          <w:rFonts w:cstheme="minorHAnsi"/>
          <w:lang w:val="hr-HR" w:eastAsia="hr-HR" w:bidi="hr-HR"/>
        </w:rPr>
        <w:t xml:space="preserve">? </w:t>
      </w:r>
      <w:r w:rsidRPr="0086255B">
        <w:rPr>
          <w:rFonts w:cstheme="minorHAnsi"/>
          <w:lang w:val="hr-HR" w:eastAsia="hr-HR" w:bidi="hr-HR"/>
        </w:rPr>
        <w:tab/>
      </w:r>
    </w:p>
    <w:p w14:paraId="58D363CF"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D725A" w:rsidRPr="0086255B" w14:paraId="2BDF8480"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40A8EED7" w14:textId="77777777" w:rsidR="003D725A" w:rsidRPr="0086255B" w:rsidRDefault="003D725A" w:rsidP="003D725A">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lastRenderedPageBreak/>
              <w:t>Maksimalan iznos pomoći</w:t>
            </w:r>
          </w:p>
        </w:tc>
      </w:tr>
    </w:tbl>
    <w:p w14:paraId="38EAE689" w14:textId="77777777" w:rsidR="003D725A" w:rsidRPr="0086255B" w:rsidRDefault="003D725A" w:rsidP="003D725A">
      <w:pPr>
        <w:numPr>
          <w:ilvl w:val="1"/>
          <w:numId w:val="7"/>
        </w:numPr>
        <w:spacing w:before="120" w:after="120" w:line="240" w:lineRule="auto"/>
        <w:ind w:left="360" w:hanging="360"/>
        <w:jc w:val="both"/>
        <w:rPr>
          <w:rFonts w:cstheme="minorHAnsi"/>
          <w:lang w:val="hr-HR" w:eastAsia="hr-HR" w:bidi="hr-HR"/>
        </w:rPr>
      </w:pPr>
      <w:r w:rsidRPr="0086255B">
        <w:rPr>
          <w:rFonts w:cstheme="minorHAnsi"/>
          <w:lang w:val="hr-HR" w:eastAsia="hr-HR" w:bidi="hr-HR"/>
        </w:rPr>
        <w:t>Da li je maksimalan iznos pomoći dodijeljene jednom MSP-u u okviru šeme ograničen na najviše 10 miliona EUR, uključujući pomoć dobijenu iz drugih izvora ili u okviru drugih šema?</w:t>
      </w:r>
    </w:p>
    <w:p w14:paraId="269AECEA"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07F8A00" w14:textId="77777777" w:rsidR="003D725A" w:rsidRPr="0086255B" w:rsidRDefault="003D725A" w:rsidP="003D725A">
      <w:pPr>
        <w:numPr>
          <w:ilvl w:val="1"/>
          <w:numId w:val="7"/>
        </w:numPr>
        <w:spacing w:before="120" w:after="120" w:line="240" w:lineRule="auto"/>
        <w:ind w:left="0" w:firstLine="0"/>
        <w:jc w:val="both"/>
        <w:rPr>
          <w:rFonts w:cstheme="minorHAnsi"/>
          <w:lang w:val="hr-HR" w:eastAsia="hr-HR" w:bidi="hr-HR"/>
        </w:rPr>
      </w:pPr>
      <w:r w:rsidRPr="0086255B">
        <w:rPr>
          <w:rFonts w:cstheme="minorHAnsi"/>
          <w:lang w:val="hr-HR" w:eastAsia="hr-HR" w:bidi="hr-HR"/>
        </w:rPr>
        <w:t>Navedite maksimalan iznos pomoći koji će se odobriti MSP-u u okviru šeme:</w:t>
      </w:r>
    </w:p>
    <w:p w14:paraId="57DDF64B"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D725A" w:rsidRPr="0086255B" w14:paraId="6E1B67C5"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793E8258" w14:textId="77777777" w:rsidR="003D725A" w:rsidRPr="0086255B" w:rsidRDefault="003D725A" w:rsidP="003D725A">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Usklađenost sa unutrašnjim tržištem</w:t>
            </w:r>
          </w:p>
        </w:tc>
      </w:tr>
    </w:tbl>
    <w:p w14:paraId="2C68EFDF" w14:textId="77777777" w:rsidR="003D725A" w:rsidRPr="0086255B" w:rsidRDefault="003D725A" w:rsidP="003D725A">
      <w:pPr>
        <w:spacing w:before="120" w:after="120"/>
        <w:jc w:val="both"/>
        <w:rPr>
          <w:rFonts w:cstheme="minorHAnsi"/>
          <w:i/>
          <w:u w:val="single"/>
          <w:lang w:val="hr-HR" w:eastAsia="hr-HR" w:bidi="hr-HR"/>
        </w:rPr>
      </w:pPr>
      <w:r w:rsidRPr="0086255B">
        <w:rPr>
          <w:rFonts w:cstheme="minorHAnsi"/>
          <w:i/>
          <w:u w:val="single"/>
          <w:lang w:val="hr-HR" w:eastAsia="hr-HR" w:bidi="hr-HR"/>
        </w:rPr>
        <w:t>U slučaju pomoći za sanaciju, restrukturiranje i privremene pomoći za restrukturiranje</w:t>
      </w:r>
    </w:p>
    <w:p w14:paraId="50C708DD" w14:textId="77777777" w:rsidR="003D725A" w:rsidRPr="0086255B" w:rsidRDefault="003D725A" w:rsidP="003D725A">
      <w:pPr>
        <w:numPr>
          <w:ilvl w:val="1"/>
          <w:numId w:val="8"/>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 xml:space="preserve">Doprinos cilju od zajedničkog interesa: </w:t>
      </w:r>
    </w:p>
    <w:p w14:paraId="7EABF1BB" w14:textId="77777777" w:rsidR="003D725A" w:rsidRPr="0086255B" w:rsidRDefault="003D725A" w:rsidP="003D725A">
      <w:pPr>
        <w:numPr>
          <w:ilvl w:val="0"/>
          <w:numId w:val="9"/>
        </w:numPr>
        <w:spacing w:before="120" w:after="120" w:line="240" w:lineRule="auto"/>
        <w:ind w:left="360"/>
        <w:jc w:val="both"/>
        <w:rPr>
          <w:rFonts w:cstheme="minorHAnsi"/>
          <w:lang w:val="hr-HR" w:eastAsia="hr-HR" w:bidi="hr-HR"/>
        </w:rPr>
      </w:pPr>
      <w:r w:rsidRPr="0086255B">
        <w:rPr>
          <w:rFonts w:cstheme="minorHAnsi"/>
          <w:lang w:val="hr-HR" w:eastAsia="hr-HR" w:bidi="hr-HR"/>
        </w:rPr>
        <w:t>Da li se šema primjenjuje samo u slučajevima kada bi neuspjeh korisnika vjerovatno uključivao socijalni problem ili tržišni nedostatak, posebno sljedeće:</w:t>
      </w:r>
    </w:p>
    <w:p w14:paraId="25657EE8" w14:textId="77777777" w:rsidR="003D725A" w:rsidRPr="0086255B" w:rsidRDefault="003D725A" w:rsidP="003D725A">
      <w:pPr>
        <w:numPr>
          <w:ilvl w:val="1"/>
          <w:numId w:val="10"/>
        </w:numPr>
        <w:spacing w:before="120" w:after="120" w:line="240" w:lineRule="auto"/>
        <w:ind w:left="720"/>
        <w:contextualSpacing/>
        <w:jc w:val="both"/>
        <w:rPr>
          <w:rFonts w:cstheme="minorHAnsi"/>
          <w:lang w:val="hr-HR" w:eastAsia="hr-HR" w:bidi="hr-HR"/>
        </w:rPr>
      </w:pPr>
      <w:r w:rsidRPr="0086255B">
        <w:rPr>
          <w:rFonts w:cstheme="minorHAnsi"/>
          <w:lang w:val="hr-HR" w:eastAsia="hr-HR" w:bidi="hr-HR"/>
        </w:rPr>
        <w:t>izlazak sa tržišta inovativnog MSP-a ili MSP-a sa velikim potencijalom rasta uzrokovao bi moguće negativne posljedice:</w:t>
      </w:r>
    </w:p>
    <w:p w14:paraId="41C25A61"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8121BBF" w14:textId="77777777" w:rsidR="003D725A" w:rsidRPr="0086255B" w:rsidRDefault="003D725A" w:rsidP="003D725A">
      <w:pPr>
        <w:numPr>
          <w:ilvl w:val="1"/>
          <w:numId w:val="10"/>
        </w:numPr>
        <w:spacing w:before="120" w:after="120" w:line="240" w:lineRule="auto"/>
        <w:ind w:left="720"/>
        <w:contextualSpacing/>
        <w:jc w:val="both"/>
        <w:rPr>
          <w:rFonts w:cstheme="minorHAnsi"/>
          <w:lang w:val="hr-HR" w:eastAsia="hr-HR" w:bidi="hr-HR"/>
        </w:rPr>
      </w:pPr>
      <w:r w:rsidRPr="0086255B">
        <w:rPr>
          <w:rFonts w:cstheme="minorHAnsi"/>
          <w:lang w:val="hr-HR" w:eastAsia="hr-HR" w:bidi="hr-HR"/>
        </w:rPr>
        <w:t>izlazak sa tržišta MSP-a sa snažnim vezama s drugim lokalnim ili regionalnim MSP-ovima, uzrokovao bi moguće negativne posljedice:</w:t>
      </w:r>
    </w:p>
    <w:p w14:paraId="49BF466D"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9FDADD8" w14:textId="77777777" w:rsidR="003D725A" w:rsidRPr="0086255B" w:rsidRDefault="003D725A" w:rsidP="003D725A">
      <w:pPr>
        <w:numPr>
          <w:ilvl w:val="1"/>
          <w:numId w:val="10"/>
        </w:numPr>
        <w:spacing w:before="120" w:after="120" w:line="240" w:lineRule="auto"/>
        <w:ind w:left="720"/>
        <w:contextualSpacing/>
        <w:jc w:val="both"/>
        <w:rPr>
          <w:rFonts w:cstheme="minorHAnsi"/>
          <w:lang w:val="hr-HR" w:eastAsia="hr-HR" w:bidi="hr-HR"/>
        </w:rPr>
      </w:pPr>
      <w:r w:rsidRPr="0086255B">
        <w:rPr>
          <w:rFonts w:cstheme="minorHAnsi"/>
          <w:lang w:val="hr-HR" w:eastAsia="hr-HR" w:bidi="hr-HR"/>
        </w:rPr>
        <w:t>neuspjeh ili negativni podsticaji tržišta kredita uzrokovali bi stečaj inače održivog MSP-a:</w:t>
      </w:r>
    </w:p>
    <w:p w14:paraId="2403270A"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7FD6FDE" w14:textId="77777777" w:rsidR="003D725A" w:rsidRPr="0086255B" w:rsidRDefault="003D725A" w:rsidP="003D725A">
      <w:pPr>
        <w:numPr>
          <w:ilvl w:val="1"/>
          <w:numId w:val="10"/>
        </w:numPr>
        <w:spacing w:before="120" w:after="120" w:line="240" w:lineRule="auto"/>
        <w:ind w:left="720"/>
        <w:contextualSpacing/>
        <w:jc w:val="both"/>
        <w:rPr>
          <w:rFonts w:cstheme="minorHAnsi"/>
          <w:lang w:val="hr-HR" w:eastAsia="hr-HR" w:bidi="hr-HR"/>
        </w:rPr>
      </w:pPr>
      <w:r w:rsidRPr="0086255B">
        <w:rPr>
          <w:rFonts w:cstheme="minorHAnsi"/>
          <w:lang w:val="hr-HR" w:eastAsia="hr-HR" w:bidi="hr-HR"/>
        </w:rPr>
        <w:t>slični problemi za koje korisnik pruži valjane dokaze:</w:t>
      </w:r>
    </w:p>
    <w:p w14:paraId="40B96B32" w14:textId="77777777" w:rsidR="003D725A" w:rsidRPr="0086255B" w:rsidRDefault="003D725A" w:rsidP="003D725A">
      <w:pPr>
        <w:spacing w:before="100" w:beforeAutospacing="1" w:after="100" w:afterAutospacing="1"/>
        <w:ind w:left="720"/>
        <w:jc w:val="both"/>
        <w:rPr>
          <w:rFonts w:cstheme="minorHAnsi"/>
          <w:b/>
          <w:iCs/>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45224F3" w14:textId="77777777" w:rsidR="003D725A" w:rsidRPr="0086255B" w:rsidRDefault="003D725A" w:rsidP="003D725A">
      <w:pPr>
        <w:numPr>
          <w:ilvl w:val="0"/>
          <w:numId w:val="9"/>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bilo koje od pitanja iz tačke a) potvrdan, obrazložite odgovor/odgovore i objasnite kriterijume na osnovu kojih će nacionalni nadležni organi procijeniti doprinos ciljevima od zajedničkog interesa.</w:t>
      </w:r>
    </w:p>
    <w:p w14:paraId="7E603233"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B72CA02" w14:textId="77777777" w:rsidR="003D725A" w:rsidRPr="0086255B" w:rsidRDefault="003D725A" w:rsidP="003D725A">
      <w:pPr>
        <w:spacing w:before="120" w:after="120"/>
        <w:jc w:val="both"/>
        <w:rPr>
          <w:rFonts w:cstheme="minorHAnsi"/>
          <w:i/>
          <w:u w:val="single"/>
          <w:lang w:val="hr-HR" w:eastAsia="hr-HR" w:bidi="hr-HR"/>
        </w:rPr>
      </w:pPr>
      <w:r w:rsidRPr="0086255B">
        <w:rPr>
          <w:rFonts w:cstheme="minorHAnsi"/>
          <w:i/>
          <w:u w:val="single"/>
          <w:lang w:val="hr-HR" w:eastAsia="hr-HR" w:bidi="hr-HR"/>
        </w:rPr>
        <w:t>U slučaju pomoći za restrukturiranje:</w:t>
      </w:r>
    </w:p>
    <w:p w14:paraId="0DBC95C2" w14:textId="77777777" w:rsidR="003D725A" w:rsidRPr="0086255B" w:rsidRDefault="003D725A" w:rsidP="003D725A">
      <w:pPr>
        <w:numPr>
          <w:ilvl w:val="1"/>
          <w:numId w:val="8"/>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Plan restrukturiranja i ponovno uspostavljanje dugoročne održivosti</w:t>
      </w:r>
    </w:p>
    <w:p w14:paraId="16C9DD97" w14:textId="77777777" w:rsidR="003D725A" w:rsidRPr="0086255B" w:rsidRDefault="003D725A" w:rsidP="003D725A">
      <w:pPr>
        <w:spacing w:before="120" w:after="120"/>
        <w:jc w:val="both"/>
        <w:rPr>
          <w:rFonts w:cstheme="minorHAnsi"/>
          <w:bCs/>
          <w:lang w:val="hr-HR" w:eastAsia="hr-HR" w:bidi="hr-HR"/>
        </w:rPr>
      </w:pPr>
      <w:r w:rsidRPr="0086255B">
        <w:rPr>
          <w:rFonts w:cstheme="minorHAnsi"/>
          <w:lang w:val="hr-HR" w:eastAsia="hr-HR" w:bidi="hr-HR"/>
        </w:rPr>
        <w:lastRenderedPageBreak/>
        <w:t>U odnosu na dodjelu pomoći za restrukturiranje, da li je za šemu potrebno osigurati plan restrukturiranja</w:t>
      </w:r>
      <w:r w:rsidRPr="0086255B">
        <w:rPr>
          <w:rFonts w:cstheme="minorHAnsi"/>
          <w:vertAlign w:val="superscript"/>
          <w:lang w:val="hr-HR" w:eastAsia="hr-HR" w:bidi="hr-HR"/>
        </w:rPr>
        <w:footnoteReference w:id="10"/>
      </w:r>
      <w:r w:rsidRPr="0086255B">
        <w:rPr>
          <w:rFonts w:cstheme="minorHAnsi"/>
          <w:lang w:val="hr-HR" w:eastAsia="hr-HR" w:bidi="hr-HR"/>
        </w:rPr>
        <w:t>, čiji je cilj ponovno uspostavljanje dugoročne održivosti</w:t>
      </w:r>
      <w:r w:rsidRPr="0086255B">
        <w:rPr>
          <w:rFonts w:cstheme="minorHAnsi"/>
          <w:vertAlign w:val="superscript"/>
          <w:lang w:val="hr-HR" w:eastAsia="hr-HR" w:bidi="hr-HR"/>
        </w:rPr>
        <w:footnoteReference w:id="11"/>
      </w:r>
      <w:r w:rsidRPr="0086255B">
        <w:rPr>
          <w:rFonts w:cstheme="minorHAnsi"/>
          <w:lang w:val="hr-HR" w:eastAsia="hr-HR" w:bidi="hr-HR"/>
        </w:rPr>
        <w:t xml:space="preserve"> korisnika u razumnom roku (vidi indikativni plan restrukturiranja iz Priloga II Smjernicama)?  </w:t>
      </w:r>
    </w:p>
    <w:p w14:paraId="5946A07A"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D725A" w:rsidRPr="0086255B" w14:paraId="33663505"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0587521F" w14:textId="77777777" w:rsidR="003D725A" w:rsidRPr="0086255B" w:rsidRDefault="003D725A" w:rsidP="003D725A">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Potreba za državnom intervencijom i podsticajni efekat</w:t>
            </w:r>
          </w:p>
        </w:tc>
      </w:tr>
    </w:tbl>
    <w:p w14:paraId="730CDEC6" w14:textId="77777777" w:rsidR="003D725A" w:rsidRPr="0086255B" w:rsidRDefault="003D725A" w:rsidP="003D725A">
      <w:pPr>
        <w:numPr>
          <w:ilvl w:val="1"/>
          <w:numId w:val="11"/>
        </w:numPr>
        <w:spacing w:before="120" w:after="120" w:line="240" w:lineRule="auto"/>
        <w:ind w:left="360" w:hanging="360"/>
        <w:jc w:val="both"/>
        <w:rPr>
          <w:rFonts w:cstheme="minorHAnsi"/>
          <w:lang w:val="hr-HR" w:eastAsia="hr-HR" w:bidi="hr-HR"/>
        </w:rPr>
      </w:pPr>
      <w:r w:rsidRPr="0086255B">
        <w:rPr>
          <w:rFonts w:cstheme="minorHAnsi"/>
          <w:lang w:val="hr-HR" w:eastAsia="hr-HR" w:bidi="hr-HR"/>
        </w:rPr>
        <w:t>Po pitanju dodjele pomoći za restrukturiranje, moraju li u okviru šeme nacionalni nadležni organi uporediti mjere utvrđene u planu restrukturiranja i vjerodostojni alternativni scenario u slučaju izostanka državne pomoći</w:t>
      </w:r>
      <w:r w:rsidRPr="0086255B">
        <w:rPr>
          <w:rFonts w:cstheme="minorHAnsi"/>
          <w:vertAlign w:val="superscript"/>
          <w:lang w:val="hr-HR" w:eastAsia="hr-HR" w:bidi="hr-HR"/>
        </w:rPr>
        <w:footnoteReference w:id="12"/>
      </w:r>
      <w:r w:rsidRPr="0086255B">
        <w:rPr>
          <w:rFonts w:cstheme="minorHAnsi"/>
          <w:lang w:val="hr-HR" w:eastAsia="hr-HR" w:bidi="hr-HR"/>
        </w:rPr>
        <w:t xml:space="preserve"> koji dokazuje da u tom alternativnom scenariju ne bi bili ostvareni cilj ili ciljevi od zajedničkog interesa opisani u prethodnom odjeljku 4.1 ili bi bili ostvareni u manjoj mjeri? Posebno, da li se u okviru šeme mora dokazati da bi se bez pomoći restrukturiranje, prodaja ili likvidacija korisnika sproveli na način kojim se ne bi ostvario cilj od zajedničkog interesa iz prethodnog odjeljka 4.1? </w:t>
      </w:r>
    </w:p>
    <w:p w14:paraId="4FCB4997"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4D302D7" w14:textId="77777777" w:rsidR="003D725A" w:rsidRPr="0086255B" w:rsidRDefault="003D725A" w:rsidP="003D725A">
      <w:pPr>
        <w:numPr>
          <w:ilvl w:val="1"/>
          <w:numId w:val="11"/>
        </w:numPr>
        <w:spacing w:before="120" w:after="120" w:line="240" w:lineRule="auto"/>
        <w:ind w:left="360" w:hanging="360"/>
        <w:jc w:val="both"/>
        <w:rPr>
          <w:rFonts w:cstheme="minorHAnsi"/>
          <w:lang w:val="hr-HR" w:eastAsia="hr-HR" w:bidi="hr-HR"/>
        </w:rPr>
      </w:pPr>
      <w:r w:rsidRPr="0086255B">
        <w:rPr>
          <w:rFonts w:cstheme="minorHAnsi"/>
          <w:lang w:val="hr-HR" w:eastAsia="hr-HR" w:bidi="hr-HR"/>
        </w:rPr>
        <w:t>Ako je odgovor na tačku 5.1 potvrdan, objasnite u skladu sa kojim će ih kriterijumima nacionalni nadležni organi ocjenjivati.</w:t>
      </w:r>
    </w:p>
    <w:p w14:paraId="6E20DBE7"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D725A" w:rsidRPr="0086255B" w14:paraId="284A72AB"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7DA11909" w14:textId="77777777" w:rsidR="003D725A" w:rsidRPr="0086255B" w:rsidRDefault="003D725A" w:rsidP="003D725A">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Primjerenost</w:t>
            </w:r>
          </w:p>
        </w:tc>
      </w:tr>
    </w:tbl>
    <w:p w14:paraId="4B1DE276" w14:textId="77777777" w:rsidR="003D725A" w:rsidRPr="0086255B" w:rsidRDefault="003D725A" w:rsidP="003D725A">
      <w:pPr>
        <w:keepNext/>
        <w:tabs>
          <w:tab w:val="left" w:pos="610"/>
        </w:tabs>
        <w:spacing w:before="120" w:after="120"/>
        <w:jc w:val="both"/>
        <w:rPr>
          <w:rFonts w:cstheme="minorHAnsi"/>
          <w:bCs/>
          <w:i/>
          <w:u w:val="single"/>
          <w:lang w:val="hr-HR" w:eastAsia="hr-HR" w:bidi="hr-HR"/>
        </w:rPr>
      </w:pPr>
      <w:r w:rsidRPr="0086255B">
        <w:rPr>
          <w:rFonts w:cstheme="minorHAnsi"/>
          <w:bCs/>
          <w:i/>
          <w:u w:val="single"/>
          <w:lang w:val="hr-HR" w:eastAsia="hr-HR" w:bidi="hr-HR"/>
        </w:rPr>
        <w:t>U slučaju pomoći za sanaciju:</w:t>
      </w:r>
    </w:p>
    <w:p w14:paraId="5485A8A0" w14:textId="77777777" w:rsidR="003D725A" w:rsidRPr="0086255B" w:rsidRDefault="003D725A" w:rsidP="003D725A">
      <w:pPr>
        <w:keepNext/>
        <w:numPr>
          <w:ilvl w:val="1"/>
          <w:numId w:val="1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Da li je pomoć dodijeljena u okviru šeme ograničena na garanciju za kredit ili kredite?</w:t>
      </w:r>
    </w:p>
    <w:p w14:paraId="26A2E136" w14:textId="77777777" w:rsidR="003D725A" w:rsidRPr="0086255B" w:rsidRDefault="003D725A" w:rsidP="003D725A">
      <w:pPr>
        <w:spacing w:before="100" w:beforeAutospacing="1" w:after="100" w:afterAutospacing="1"/>
        <w:ind w:left="720"/>
        <w:jc w:val="both"/>
        <w:rPr>
          <w:rFonts w:cstheme="minorHAnsi"/>
          <w:iCs/>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1A69B59" w14:textId="77777777" w:rsidR="003D725A" w:rsidRPr="0086255B" w:rsidRDefault="003D725A" w:rsidP="003D725A">
      <w:pPr>
        <w:numPr>
          <w:ilvl w:val="1"/>
          <w:numId w:val="1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 xml:space="preserve">Da li je u okviru šeme propisano da se finansijski trošak kredita (ili, u slučaju garancije za kredit, ukupni finansijski trošak kredita sa garancijom, uključujući kamatnu stopu i garantnu premiju) mora utvrditi </w:t>
      </w:r>
      <w:r w:rsidRPr="0086255B">
        <w:rPr>
          <w:rFonts w:cstheme="minorHAnsi"/>
          <w:lang w:val="hr-HR" w:eastAsia="hr-HR" w:bidi="hr-HR"/>
        </w:rPr>
        <w:lastRenderedPageBreak/>
        <w:t>na nivou koji nije niži od referentne stope koju je Komisija utvrdila u svom Saopštenju o referentnoj stopi</w:t>
      </w:r>
      <w:r w:rsidRPr="0086255B">
        <w:rPr>
          <w:rFonts w:cstheme="minorHAnsi"/>
          <w:vertAlign w:val="superscript"/>
          <w:lang w:val="hr-HR" w:eastAsia="hr-HR" w:bidi="hr-HR"/>
        </w:rPr>
        <w:footnoteReference w:id="13"/>
      </w:r>
      <w:r w:rsidRPr="0086255B">
        <w:rPr>
          <w:rFonts w:cstheme="minorHAnsi"/>
          <w:lang w:val="hr-HR" w:eastAsia="hr-HR" w:bidi="hr-HR"/>
        </w:rPr>
        <w:t xml:space="preserve"> za oslabljena privredna društva kojim se nudi uobičajeni nivo kolateralizacije?</w:t>
      </w:r>
    </w:p>
    <w:p w14:paraId="7FA29126"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AA76D9F" w14:textId="77777777" w:rsidR="003D725A" w:rsidRPr="0086255B" w:rsidRDefault="003D725A" w:rsidP="003D725A">
      <w:pPr>
        <w:numPr>
          <w:ilvl w:val="1"/>
          <w:numId w:val="1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Da li je u okviru šeme predviđeno da se pomoć za sanaciju dodjeljuje na najduže šest mjeseci i da je za to vrijeme potrebno sprovesti analizu položaja korisnika?</w:t>
      </w:r>
    </w:p>
    <w:p w14:paraId="24252855"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08907DD" w14:textId="77777777" w:rsidR="003D725A" w:rsidRPr="0086255B" w:rsidRDefault="003D725A" w:rsidP="003D725A">
      <w:pPr>
        <w:numPr>
          <w:ilvl w:val="1"/>
          <w:numId w:val="1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Da li je u okviru šeme predviđeno da će se, u roku od šest mjeseci od dodjele pomoći za sanaciju, kredit vratiti ili će garancija prestati da važi, osim ako su prije toga: (a) nacionalni nadležni organi odobrili plan restrukturiranja ili plan likvidacije ili (b) korisnik je podnio pojednostavljeni plan restrukturiranja</w:t>
      </w:r>
      <w:r w:rsidRPr="0086255B">
        <w:rPr>
          <w:rFonts w:cstheme="minorHAnsi"/>
          <w:vertAlign w:val="superscript"/>
          <w:lang w:val="hr-HR" w:eastAsia="hr-HR" w:bidi="hr-HR"/>
        </w:rPr>
        <w:footnoteReference w:id="14"/>
      </w:r>
      <w:r w:rsidRPr="0086255B">
        <w:rPr>
          <w:rFonts w:cstheme="minorHAnsi"/>
          <w:lang w:val="hr-HR" w:eastAsia="hr-HR" w:bidi="hr-HR"/>
        </w:rPr>
        <w:t xml:space="preserve"> (u slučaju privremene pomoći za restrukturiranje)?</w:t>
      </w:r>
    </w:p>
    <w:p w14:paraId="63FF91F5"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E8F5AB0" w14:textId="77777777" w:rsidR="003D725A" w:rsidRPr="0086255B" w:rsidRDefault="003D725A" w:rsidP="003D725A">
      <w:pPr>
        <w:numPr>
          <w:ilvl w:val="1"/>
          <w:numId w:val="1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 xml:space="preserve">Da li je u okviru šeme predviđeno da se pomoć za sanaciju ne smije upotrebljavati za finansiranje strukturnih mjera kao što su kupovina bitnih poslovanja ili imovine, osim ako su one potrebne za opstanak korisnika tokom sanacije? </w:t>
      </w:r>
    </w:p>
    <w:p w14:paraId="3C97075A"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901D360" w14:textId="77777777" w:rsidR="003D725A" w:rsidRPr="0086255B" w:rsidRDefault="003D725A" w:rsidP="003D725A">
      <w:pPr>
        <w:keepNext/>
        <w:widowControl w:val="0"/>
        <w:tabs>
          <w:tab w:val="left" w:pos="610"/>
        </w:tabs>
        <w:spacing w:before="120" w:after="120"/>
        <w:jc w:val="both"/>
        <w:rPr>
          <w:rFonts w:cstheme="minorHAnsi"/>
          <w:bCs/>
          <w:i/>
          <w:u w:val="single"/>
          <w:lang w:val="hr-HR" w:eastAsia="hr-HR" w:bidi="hr-HR"/>
        </w:rPr>
      </w:pPr>
      <w:r w:rsidRPr="0086255B">
        <w:rPr>
          <w:rFonts w:cstheme="minorHAnsi"/>
          <w:bCs/>
          <w:i/>
          <w:u w:val="single"/>
          <w:lang w:val="hr-HR" w:eastAsia="hr-HR" w:bidi="hr-HR"/>
        </w:rPr>
        <w:t>U slučaju pomoći za restrukturiranje:</w:t>
      </w:r>
    </w:p>
    <w:p w14:paraId="2616CEE3" w14:textId="77777777" w:rsidR="003D725A" w:rsidRPr="0086255B" w:rsidRDefault="003D725A" w:rsidP="003D725A">
      <w:pPr>
        <w:keepNext/>
        <w:numPr>
          <w:ilvl w:val="1"/>
          <w:numId w:val="1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Objasnite na osnovu kojih će kriterijuma nacionalni nadležni organi ocijeniti u kojoj se mjeri problemi korisnika odnose na likvidnost ili solventnost ili oboje i kako će odabrati instrumente državne pomoći kojima će se primjereno ukloniti utvrđeni problemi:</w:t>
      </w:r>
    </w:p>
    <w:p w14:paraId="540B991B" w14:textId="77777777" w:rsidR="003D725A" w:rsidRPr="0086255B" w:rsidRDefault="003D725A" w:rsidP="003D725A">
      <w:pPr>
        <w:keepNext/>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BFD74F4"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57C8DCF" w14:textId="77777777" w:rsidR="003D725A" w:rsidRPr="0086255B" w:rsidRDefault="003D725A" w:rsidP="003D725A">
      <w:pPr>
        <w:widowControl w:val="0"/>
        <w:tabs>
          <w:tab w:val="left" w:pos="610"/>
        </w:tabs>
        <w:spacing w:before="120" w:after="120"/>
        <w:jc w:val="both"/>
        <w:rPr>
          <w:rFonts w:cstheme="minorHAnsi"/>
          <w:bCs/>
          <w:i/>
          <w:u w:val="single"/>
          <w:lang w:val="hr-HR" w:eastAsia="hr-HR" w:bidi="hr-HR"/>
        </w:rPr>
      </w:pPr>
      <w:r w:rsidRPr="0086255B">
        <w:rPr>
          <w:rFonts w:cstheme="minorHAnsi"/>
          <w:bCs/>
          <w:i/>
          <w:u w:val="single"/>
          <w:lang w:val="hr-HR" w:eastAsia="hr-HR" w:bidi="hr-HR"/>
        </w:rPr>
        <w:t>U slučaju privremene pomoći za restrukturiranje:</w:t>
      </w:r>
    </w:p>
    <w:p w14:paraId="3658F785" w14:textId="77777777" w:rsidR="003D725A" w:rsidRPr="0086255B" w:rsidRDefault="003D725A" w:rsidP="003D725A">
      <w:pPr>
        <w:numPr>
          <w:ilvl w:val="1"/>
          <w:numId w:val="1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Da li je privremena pomoć za restrukturiranje koja će biti dodijeljena u okviru šeme ograničena na garancije za kredit ili kredite?</w:t>
      </w:r>
    </w:p>
    <w:p w14:paraId="0E1C816F"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69E4A2D" w14:textId="77777777" w:rsidR="003D725A" w:rsidRPr="0086255B" w:rsidRDefault="003D725A" w:rsidP="003D725A">
      <w:pPr>
        <w:numPr>
          <w:ilvl w:val="1"/>
          <w:numId w:val="1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 xml:space="preserve">Da li šema propisuje da se finansijski trošak kredita (ili, u slučaju garancije za kredit, ukupni finansijski trošak kredita sa garancijom, uključujući kamatnu stopu i garantnu premiju) mora utvrditi na nivou </w:t>
      </w:r>
      <w:r w:rsidRPr="0086255B">
        <w:rPr>
          <w:rFonts w:cstheme="minorHAnsi"/>
          <w:lang w:val="hr-HR" w:eastAsia="hr-HR" w:bidi="hr-HR"/>
        </w:rPr>
        <w:lastRenderedPageBreak/>
        <w:t>koji nije niži od referentne stope koju je utvrdila Komisija u svom Saopštenju o referentnoj stopi za oslabljena privredna društva kojom se nudi uobičajeni nivo kolateralizacije?</w:t>
      </w:r>
    </w:p>
    <w:p w14:paraId="31908BCC"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14FD6DF" w14:textId="77777777" w:rsidR="003D725A" w:rsidRPr="0086255B" w:rsidRDefault="003D725A" w:rsidP="003D725A">
      <w:pPr>
        <w:numPr>
          <w:ilvl w:val="1"/>
          <w:numId w:val="1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Da li šema predviđa da se naknada za privremenu pomoć za restrukturiranje poveća za najmanje 50 baznih bodova nakon što prođe 12 mjeseci od isplate prve rate korisniku (ne uključujući period pomoći za sanaciju koji je tome neposredno prethodio)?</w:t>
      </w:r>
    </w:p>
    <w:p w14:paraId="3EF2E09C"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69F91F9" w14:textId="77777777" w:rsidR="003D725A" w:rsidRPr="0086255B" w:rsidRDefault="003D725A" w:rsidP="003D725A">
      <w:pPr>
        <w:numPr>
          <w:ilvl w:val="1"/>
          <w:numId w:val="12"/>
        </w:numPr>
        <w:tabs>
          <w:tab w:val="left" w:pos="810"/>
        </w:tabs>
        <w:spacing w:before="120" w:after="120" w:line="240" w:lineRule="auto"/>
        <w:ind w:left="720" w:hanging="720"/>
        <w:jc w:val="both"/>
        <w:rPr>
          <w:rFonts w:cstheme="minorHAnsi"/>
          <w:lang w:val="hr-HR" w:eastAsia="hr-HR" w:bidi="hr-HR"/>
        </w:rPr>
      </w:pPr>
      <w:r w:rsidRPr="0086255B">
        <w:rPr>
          <w:rFonts w:cstheme="minorHAnsi"/>
          <w:lang w:val="hr-HR" w:eastAsia="hr-HR" w:bidi="hr-HR"/>
        </w:rPr>
        <w:t>Da li šema predviđa da će se privremena pomoć za restrukturiranje dodjeljivati na najduže 18 mjeseci, ne uključujući period pomoći za sanaciju koji je tome neposredno prethodio?</w:t>
      </w:r>
    </w:p>
    <w:p w14:paraId="32AFB402"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9996D32" w14:textId="77777777" w:rsidR="003D725A" w:rsidRPr="0086255B" w:rsidRDefault="003D725A" w:rsidP="003D725A">
      <w:pPr>
        <w:numPr>
          <w:ilvl w:val="1"/>
          <w:numId w:val="12"/>
        </w:numPr>
        <w:spacing w:before="120" w:after="120" w:line="240" w:lineRule="auto"/>
        <w:ind w:left="720" w:hanging="720"/>
        <w:jc w:val="both"/>
        <w:rPr>
          <w:rFonts w:cstheme="minorHAnsi"/>
          <w:lang w:val="hr-HR" w:eastAsia="hr-HR" w:bidi="hr-HR"/>
        </w:rPr>
      </w:pPr>
      <w:r w:rsidRPr="0086255B">
        <w:rPr>
          <w:rFonts w:cstheme="minorHAnsi"/>
          <w:lang w:val="hr-HR" w:eastAsia="hr-HR" w:bidi="hr-HR"/>
        </w:rPr>
        <w:t>Da li šema predviđa da će najkasnije šest mjeseci nakon isplate prve rate privremene pomoći za restrukturiranje korisniku (ne uključujući period pomoći za sanaciju koji je tome neposredno prethodio) nacionalni nadležni organi odobriti pojednostavljeni plan restrukturiranja?</w:t>
      </w:r>
    </w:p>
    <w:p w14:paraId="2DFEE10B" w14:textId="77777777" w:rsidR="003D725A" w:rsidRPr="0086255B" w:rsidRDefault="003D725A" w:rsidP="003D725A">
      <w:pPr>
        <w:pStyle w:val="ListParagraph"/>
        <w:spacing w:before="100" w:beforeAutospacing="1" w:after="100" w:afterAutospacing="1"/>
        <w:ind w:firstLine="0"/>
        <w:contextualSpacing w:val="0"/>
        <w:rPr>
          <w:rFonts w:asciiTheme="minorHAnsi" w:hAnsiTheme="minorHAnsi" w:cstheme="minorHAnsi"/>
          <w:sz w:val="22"/>
          <w:szCs w:val="22"/>
        </w:rPr>
      </w:pP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da                    </w:t>
      </w: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ne</w:t>
      </w:r>
    </w:p>
    <w:p w14:paraId="260C4095" w14:textId="77777777" w:rsidR="003D725A" w:rsidRPr="0086255B" w:rsidRDefault="003D725A" w:rsidP="003D725A">
      <w:pPr>
        <w:spacing w:before="120" w:after="120" w:line="240" w:lineRule="auto"/>
        <w:ind w:left="720"/>
        <w:jc w:val="both"/>
        <w:rPr>
          <w:rFonts w:cstheme="minorHAnsi"/>
          <w:lang w:val="hr-HR" w:eastAsia="hr-HR" w:bidi="hr-HR"/>
        </w:rPr>
      </w:pPr>
    </w:p>
    <w:p w14:paraId="3F1668F3" w14:textId="77777777" w:rsidR="003D725A" w:rsidRPr="0086255B" w:rsidRDefault="003D725A" w:rsidP="003D725A">
      <w:pPr>
        <w:numPr>
          <w:ilvl w:val="1"/>
          <w:numId w:val="12"/>
        </w:numPr>
        <w:spacing w:before="120" w:after="120" w:line="240" w:lineRule="auto"/>
        <w:ind w:left="720" w:hanging="720"/>
        <w:jc w:val="both"/>
        <w:rPr>
          <w:rFonts w:cstheme="minorHAnsi"/>
          <w:lang w:val="hr-HR" w:eastAsia="hr-HR" w:bidi="hr-HR"/>
        </w:rPr>
      </w:pPr>
      <w:r w:rsidRPr="0086255B">
        <w:rPr>
          <w:rFonts w:cstheme="minorHAnsi"/>
          <w:lang w:val="hr-HR" w:eastAsia="hr-HR" w:bidi="hr-HR"/>
        </w:rPr>
        <w:t>Da li šema predviđa da će se u roku od 18 mjeseci od datuma dodjele privremene pomoći za restrukturiranje, ne uključujući period pomoći za sanaciju koji je tome neposredno prethodio, kredit vratiti ili će garancija prestati da važi, osim ako su prije toga nacionalni nadležni organi odobrili plan restrukturiranja ili likvidacije korisnika?</w:t>
      </w:r>
    </w:p>
    <w:p w14:paraId="59C4FD6E"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D725A" w:rsidRPr="0086255B" w14:paraId="7DF623DB"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753B45EA" w14:textId="77777777" w:rsidR="003D725A" w:rsidRPr="0086255B" w:rsidRDefault="003D725A" w:rsidP="003D725A">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Proporcionalnost pomoći ili pomoć ograničena na minimum</w:t>
            </w:r>
          </w:p>
        </w:tc>
      </w:tr>
    </w:tbl>
    <w:p w14:paraId="66CA8084" w14:textId="77777777" w:rsidR="003D725A" w:rsidRPr="0086255B" w:rsidRDefault="003D725A" w:rsidP="003D725A">
      <w:pPr>
        <w:widowControl w:val="0"/>
        <w:tabs>
          <w:tab w:val="left" w:pos="610"/>
        </w:tabs>
        <w:spacing w:before="120" w:after="120"/>
        <w:jc w:val="both"/>
        <w:rPr>
          <w:rFonts w:cstheme="minorHAnsi"/>
          <w:bCs/>
          <w:i/>
          <w:u w:val="single"/>
          <w:lang w:val="hr-HR" w:eastAsia="hr-HR" w:bidi="hr-HR"/>
        </w:rPr>
      </w:pPr>
      <w:r w:rsidRPr="0086255B">
        <w:rPr>
          <w:rFonts w:cstheme="minorHAnsi"/>
          <w:bCs/>
          <w:i/>
          <w:u w:val="single"/>
          <w:lang w:val="hr-HR" w:eastAsia="hr-HR" w:bidi="hr-HR"/>
        </w:rPr>
        <w:t>U slučaju pomoći za sanaciju i privremena pomoć za restrukturiranje:</w:t>
      </w:r>
    </w:p>
    <w:p w14:paraId="01B140D1" w14:textId="77777777" w:rsidR="003D725A" w:rsidRPr="0086255B" w:rsidRDefault="003D725A" w:rsidP="003D725A">
      <w:pPr>
        <w:numPr>
          <w:ilvl w:val="1"/>
          <w:numId w:val="13"/>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Iznos pomoći</w:t>
      </w:r>
    </w:p>
    <w:p w14:paraId="081044E1" w14:textId="77777777" w:rsidR="003D725A" w:rsidRPr="0086255B" w:rsidRDefault="003D725A" w:rsidP="003D725A">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Da li šema predviđa da iznos pomoći neće prelaziti rezultat obračuna na osnovu formule utvrđene u Prilogu I Smjernicama? </w:t>
      </w:r>
    </w:p>
    <w:p w14:paraId="732F32FF"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4C44780" w14:textId="77777777" w:rsidR="003D725A" w:rsidRPr="0086255B" w:rsidRDefault="003D725A" w:rsidP="003D725A">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tačku (a) negativan, da li šema zahtijeva izradu plana likvidnosti u kojem su navedene potrebe za likvidnošću korisnika za sljedećih šest mjeseci (18 mjeseci u slučaju privremene pomoći za restrukturiranje)?</w:t>
      </w:r>
    </w:p>
    <w:p w14:paraId="28F7F98E"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C2D8065" w14:textId="77777777" w:rsidR="003D725A" w:rsidRPr="0086255B" w:rsidRDefault="003D725A" w:rsidP="003D725A">
      <w:pPr>
        <w:numPr>
          <w:ilvl w:val="0"/>
          <w:numId w:val="16"/>
        </w:numPr>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Ako je odgovor na tačku (b) potvrdan, objasnite na kojoj će osnovi i na osnovu kojih podataka nacionalni nadležni organi ispitati da li je plan likvidnosti u kojem su navedene potrebe za likvidnošću korisnika za sljedećih šest mjeseci (18 mjeseci u slučaju privremene pomoći za restrukturiranje) opravdan:</w:t>
      </w:r>
    </w:p>
    <w:p w14:paraId="08A38B4C"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523859B"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EC9381E" w14:textId="77777777" w:rsidR="003D725A" w:rsidRPr="0086255B" w:rsidRDefault="003D725A" w:rsidP="003D725A">
      <w:pPr>
        <w:widowControl w:val="0"/>
        <w:tabs>
          <w:tab w:val="left" w:pos="610"/>
        </w:tabs>
        <w:spacing w:before="120" w:after="120"/>
        <w:jc w:val="both"/>
        <w:rPr>
          <w:rFonts w:cstheme="minorHAnsi"/>
          <w:bCs/>
          <w:i/>
          <w:u w:val="single"/>
          <w:lang w:val="hr-HR" w:eastAsia="hr-HR" w:bidi="hr-HR"/>
        </w:rPr>
      </w:pPr>
      <w:r w:rsidRPr="0086255B">
        <w:rPr>
          <w:rFonts w:cstheme="minorHAnsi"/>
          <w:bCs/>
          <w:i/>
          <w:u w:val="single"/>
          <w:lang w:val="hr-HR" w:eastAsia="hr-HR" w:bidi="hr-HR"/>
        </w:rPr>
        <w:t>U slučaju pomoći za restrukturiranje:</w:t>
      </w:r>
    </w:p>
    <w:p w14:paraId="487AA234" w14:textId="77777777" w:rsidR="003D725A" w:rsidRPr="0086255B" w:rsidRDefault="003D725A" w:rsidP="003D725A">
      <w:pPr>
        <w:numPr>
          <w:ilvl w:val="1"/>
          <w:numId w:val="13"/>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Vlastiti doprinos</w:t>
      </w:r>
    </w:p>
    <w:p w14:paraId="23AD6D6C" w14:textId="77777777" w:rsidR="003D725A" w:rsidRPr="0086255B" w:rsidRDefault="003D725A" w:rsidP="003D725A">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Da li se šema zahtijeva pružanje doprinosa, koji je stvaran i ne uključuje pomoć, troškovima restrukturiranja iz vlastitih sredstava korisnika, njegovih akcionara, povjerilaca,  poslovne grupe kojoj pripada ili od novih ulagača u iznosu od najmanje 40 % troškova restrukturiranja u slučaju srednjih pravih lica ili 25 % troškova restrukturiranja u slučaju malih pravnih lica?</w:t>
      </w:r>
    </w:p>
    <w:p w14:paraId="4F4B9B7B"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2988FF5" w14:textId="77777777" w:rsidR="003D725A" w:rsidRPr="0086255B" w:rsidRDefault="003D725A" w:rsidP="003D725A">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tačku (a) potvrdan, objasnite koje će elemente nacionalni nadležni organi uzeti u obzir kako bi ocijenila da li je vlastiti doprinos stvaran i ne uključuje pomoć:</w:t>
      </w:r>
    </w:p>
    <w:p w14:paraId="51D76E6A"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0B3AC21"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7DF3CBE" w14:textId="77777777" w:rsidR="003D725A" w:rsidRPr="0086255B" w:rsidRDefault="003D725A" w:rsidP="003D725A">
      <w:pPr>
        <w:keepNext/>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Da li šema zahtijeva da vlastiti doprinos treba da bude uporediv sa dodijeljenom pomoći u pogledu efekata na stanje solventnosti ili likvidnosti korisnika</w:t>
      </w:r>
      <w:r w:rsidRPr="0086255B">
        <w:rPr>
          <w:rFonts w:cstheme="minorHAnsi"/>
          <w:vertAlign w:val="superscript"/>
          <w:lang w:val="hr-HR" w:eastAsia="hr-HR" w:bidi="hr-HR"/>
        </w:rPr>
        <w:footnoteReference w:id="15"/>
      </w:r>
      <w:r w:rsidRPr="0086255B">
        <w:rPr>
          <w:rFonts w:cstheme="minorHAnsi"/>
          <w:lang w:val="hr-HR" w:eastAsia="hr-HR" w:bidi="hr-HR"/>
        </w:rPr>
        <w:t>?</w:t>
      </w:r>
    </w:p>
    <w:p w14:paraId="6A29F4D3"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6A23E82" w14:textId="77777777" w:rsidR="003D725A" w:rsidRPr="0086255B" w:rsidRDefault="003D725A" w:rsidP="003D725A">
      <w:pPr>
        <w:numPr>
          <w:ilvl w:val="0"/>
          <w:numId w:val="14"/>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tačku (c) potvrdan, objasnite kako će to nacionalni nadležni organi ocjenjivati:</w:t>
      </w:r>
    </w:p>
    <w:p w14:paraId="7944E4BA"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307BC2A"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ACA7631" w14:textId="77777777" w:rsidR="003D725A" w:rsidRPr="0086255B" w:rsidRDefault="003D725A" w:rsidP="003D725A">
      <w:pPr>
        <w:numPr>
          <w:ilvl w:val="1"/>
          <w:numId w:val="13"/>
        </w:numPr>
        <w:spacing w:before="120" w:after="120" w:line="240" w:lineRule="auto"/>
        <w:ind w:left="0" w:firstLine="0"/>
        <w:jc w:val="both"/>
        <w:rPr>
          <w:rFonts w:cstheme="minorHAnsi"/>
          <w:b/>
          <w:lang w:val="hr-HR" w:eastAsia="hr-HR" w:bidi="hr-HR"/>
        </w:rPr>
      </w:pPr>
      <w:r w:rsidRPr="0086255B">
        <w:rPr>
          <w:rFonts w:cstheme="minorHAnsi"/>
          <w:b/>
          <w:lang w:val="hr-HR" w:eastAsia="hr-HR" w:bidi="hr-HR"/>
        </w:rPr>
        <w:t xml:space="preserve"> Raspodjela tereta </w:t>
      </w:r>
    </w:p>
    <w:p w14:paraId="042514F7" w14:textId="77777777" w:rsidR="003D725A" w:rsidRPr="0086255B" w:rsidRDefault="003D725A" w:rsidP="003D725A">
      <w:pPr>
        <w:spacing w:before="120" w:after="120"/>
        <w:jc w:val="both"/>
        <w:rPr>
          <w:rFonts w:cstheme="minorHAnsi"/>
          <w:i/>
          <w:lang w:val="hr-HR" w:eastAsia="hr-HR" w:bidi="hr-HR"/>
        </w:rPr>
      </w:pPr>
      <w:r w:rsidRPr="0086255B">
        <w:rPr>
          <w:rFonts w:cstheme="minorHAnsi"/>
          <w:i/>
          <w:u w:val="single"/>
          <w:lang w:val="hr-HR" w:eastAsia="hr-HR" w:bidi="hr-HR"/>
        </w:rPr>
        <w:t>Popunjava se ako šema predviđa da se državna pomoć odobrava u obliku kojim se jača vlasnički kapital korisnika</w:t>
      </w:r>
      <w:r w:rsidRPr="0086255B">
        <w:rPr>
          <w:rFonts w:cstheme="minorHAnsi"/>
          <w:i/>
          <w:vertAlign w:val="superscript"/>
          <w:lang w:val="hr-HR" w:eastAsia="hr-HR" w:bidi="hr-HR"/>
        </w:rPr>
        <w:footnoteReference w:id="16"/>
      </w:r>
      <w:r w:rsidRPr="0086255B">
        <w:rPr>
          <w:rFonts w:cstheme="minorHAnsi"/>
          <w:lang w:val="hr-HR" w:eastAsia="hr-HR" w:bidi="hr-HR"/>
        </w:rPr>
        <w:t>:</w:t>
      </w:r>
    </w:p>
    <w:p w14:paraId="1DA1EF12" w14:textId="77777777" w:rsidR="003D725A" w:rsidRPr="0086255B" w:rsidRDefault="003D725A" w:rsidP="003D725A">
      <w:pPr>
        <w:numPr>
          <w:ilvl w:val="0"/>
          <w:numId w:val="15"/>
        </w:numPr>
        <w:spacing w:before="120" w:after="120" w:line="240" w:lineRule="auto"/>
        <w:ind w:left="360"/>
        <w:jc w:val="both"/>
        <w:rPr>
          <w:rFonts w:cstheme="minorHAnsi"/>
          <w:lang w:val="hr-HR" w:eastAsia="hr-HR" w:bidi="hr-HR"/>
        </w:rPr>
      </w:pPr>
      <w:r w:rsidRPr="0086255B">
        <w:rPr>
          <w:rFonts w:cstheme="minorHAnsi"/>
          <w:lang w:val="hr-HR" w:eastAsia="hr-HR" w:bidi="hr-HR"/>
        </w:rPr>
        <w:t>Da li šema predviđa da se državna intervencija može sprovesti tek nakon što se podmire svi gubici i da se pripišu postojećim akcionarima i/ili podređenim povjeriocima?</w:t>
      </w:r>
    </w:p>
    <w:p w14:paraId="685D46E0" w14:textId="77777777" w:rsidR="003D725A" w:rsidRPr="0086255B" w:rsidRDefault="003D725A" w:rsidP="003D725A">
      <w:pPr>
        <w:spacing w:before="100" w:beforeAutospacing="1" w:after="100" w:afterAutospacing="1"/>
        <w:ind w:left="720"/>
        <w:jc w:val="both"/>
        <w:rPr>
          <w:rFonts w:cstheme="minorHAnsi"/>
          <w:b/>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D74E833" w14:textId="77777777" w:rsidR="003D725A" w:rsidRPr="0086255B" w:rsidRDefault="003D725A" w:rsidP="003D725A">
      <w:pPr>
        <w:numPr>
          <w:ilvl w:val="0"/>
          <w:numId w:val="15"/>
        </w:numPr>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 xml:space="preserve">Da li će tokom perioda restrukturiranja biti spriječeni novčani tokovi korisnika prema vlasnicima kapitala i podređenog duga u zakonom dopuštenoj mjeri?  </w:t>
      </w:r>
    </w:p>
    <w:p w14:paraId="68FCCAC9"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4FC6E31" w14:textId="77777777" w:rsidR="003D725A" w:rsidRPr="0086255B" w:rsidRDefault="003D725A" w:rsidP="003D725A">
      <w:pPr>
        <w:numPr>
          <w:ilvl w:val="0"/>
          <w:numId w:val="15"/>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Ako je odgovor na tačku (b) negativan, objasnite na osnovu kojih će kriterijuma nacionalni nadležni organi ocijeniti hoće li takav odliv gotovine nesrazmjerno uticati na one koji su izvršili dokapitalizaciju društva svježim kapitalom. </w:t>
      </w:r>
    </w:p>
    <w:p w14:paraId="231C1A3B"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8270767"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C53B636" w14:textId="77777777" w:rsidR="003D725A" w:rsidRPr="0086255B" w:rsidRDefault="003D725A" w:rsidP="003D725A">
      <w:pPr>
        <w:numPr>
          <w:ilvl w:val="0"/>
          <w:numId w:val="15"/>
        </w:numPr>
        <w:spacing w:before="120" w:after="120" w:line="240" w:lineRule="auto"/>
        <w:ind w:left="360"/>
        <w:jc w:val="both"/>
        <w:rPr>
          <w:rFonts w:cstheme="minorHAnsi"/>
          <w:lang w:val="hr-HR" w:eastAsia="hr-HR" w:bidi="hr-HR"/>
        </w:rPr>
      </w:pPr>
      <w:r w:rsidRPr="0086255B">
        <w:rPr>
          <w:rFonts w:cstheme="minorHAnsi"/>
          <w:lang w:val="hr-HR" w:eastAsia="hr-HR" w:bidi="hr-HR"/>
        </w:rPr>
        <w:t>Da li će nacionalni nadležni organi dopustiti neke izuzetke od uslova opisanih u prethodnim tačkama (a) i (b)?</w:t>
      </w:r>
    </w:p>
    <w:p w14:paraId="12820D83" w14:textId="77777777" w:rsidR="003D725A" w:rsidRPr="0086255B" w:rsidRDefault="003D725A" w:rsidP="003D725A">
      <w:pPr>
        <w:spacing w:before="100" w:beforeAutospacing="1" w:after="100" w:afterAutospacing="1"/>
        <w:ind w:left="108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ne</w:t>
      </w:r>
    </w:p>
    <w:p w14:paraId="224D108A" w14:textId="77777777" w:rsidR="003D725A" w:rsidRPr="0086255B" w:rsidRDefault="003D725A" w:rsidP="003D725A">
      <w:pPr>
        <w:spacing w:before="100" w:beforeAutospacing="1" w:after="100" w:afterAutospacing="1"/>
        <w:ind w:left="108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da. Ako je tako, objasnite.</w:t>
      </w:r>
    </w:p>
    <w:p w14:paraId="01804F96" w14:textId="77777777" w:rsidR="003D725A" w:rsidRPr="0086255B" w:rsidRDefault="003D725A" w:rsidP="003D725A">
      <w:pPr>
        <w:tabs>
          <w:tab w:val="left" w:leader="dot" w:pos="9072"/>
        </w:tabs>
        <w:spacing w:before="120" w:after="120"/>
        <w:jc w:val="both"/>
        <w:rPr>
          <w:rFonts w:cstheme="minorHAnsi"/>
          <w:iCs/>
          <w:noProof/>
          <w:lang w:val="hr-HR" w:eastAsia="hr-HR" w:bidi="hr-HR"/>
        </w:rPr>
      </w:pPr>
      <w:r w:rsidRPr="0086255B">
        <w:rPr>
          <w:rFonts w:cstheme="minorHAnsi"/>
          <w:lang w:val="hr-HR" w:eastAsia="hr-HR" w:bidi="hr-HR"/>
        </w:rPr>
        <w:tab/>
      </w:r>
    </w:p>
    <w:p w14:paraId="3279CB9D" w14:textId="77777777" w:rsidR="003D725A" w:rsidRPr="0086255B" w:rsidRDefault="003D725A" w:rsidP="003D725A">
      <w:pPr>
        <w:numPr>
          <w:ilvl w:val="0"/>
          <w:numId w:val="15"/>
        </w:numPr>
        <w:spacing w:before="120" w:after="120" w:line="240" w:lineRule="auto"/>
        <w:ind w:left="360"/>
        <w:jc w:val="both"/>
        <w:rPr>
          <w:rFonts w:cstheme="minorHAnsi"/>
          <w:lang w:val="hr-HR" w:eastAsia="hr-HR" w:bidi="hr-HR"/>
        </w:rPr>
      </w:pPr>
      <w:r w:rsidRPr="0086255B">
        <w:rPr>
          <w:rFonts w:cstheme="minorHAnsi"/>
          <w:lang w:val="hr-HR" w:eastAsia="hr-HR" w:bidi="hr-HR"/>
        </w:rPr>
        <w:t>Da li šema predviđa da će država dobiti razumni udio u budućoj dobiti vrijednosti korisnika, uzimajući u obzir iznos dokapitalizacije državnim kapitalom u poređenju s preostalim iznosom kapitala društva nakon što se podmire gubici?</w:t>
      </w:r>
    </w:p>
    <w:p w14:paraId="058520A1"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D725A" w:rsidRPr="0086255B" w14:paraId="6C7C52CD"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5F417041" w14:textId="77777777" w:rsidR="003D725A" w:rsidRPr="0086255B" w:rsidRDefault="003D725A" w:rsidP="003D725A">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Negativni efekti</w:t>
            </w:r>
          </w:p>
        </w:tc>
      </w:tr>
    </w:tbl>
    <w:p w14:paraId="78817B41" w14:textId="77777777" w:rsidR="003D725A" w:rsidRPr="0086255B" w:rsidRDefault="003D725A" w:rsidP="003D725A">
      <w:pPr>
        <w:numPr>
          <w:ilvl w:val="1"/>
          <w:numId w:val="18"/>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Princip jednokratne dodjele</w:t>
      </w:r>
    </w:p>
    <w:p w14:paraId="1A626553" w14:textId="77777777" w:rsidR="003D725A" w:rsidRPr="0086255B" w:rsidRDefault="003D725A" w:rsidP="003D725A">
      <w:pPr>
        <w:spacing w:before="120" w:after="120"/>
        <w:jc w:val="both"/>
        <w:rPr>
          <w:rFonts w:cstheme="minorHAnsi"/>
          <w:lang w:val="hr-HR" w:eastAsia="hr-HR" w:bidi="hr-HR"/>
        </w:rPr>
      </w:pPr>
      <w:r w:rsidRPr="0086255B">
        <w:rPr>
          <w:rFonts w:cstheme="minorHAnsi"/>
          <w:lang w:val="hr-HR" w:eastAsia="hr-HR" w:bidi="hr-HR"/>
        </w:rPr>
        <w:t>Da li šema isključuje</w:t>
      </w:r>
      <w:r w:rsidRPr="0086255B">
        <w:rPr>
          <w:rFonts w:cstheme="minorHAnsi"/>
          <w:vertAlign w:val="superscript"/>
          <w:lang w:val="hr-HR" w:eastAsia="hr-HR" w:bidi="hr-HR"/>
        </w:rPr>
        <w:footnoteReference w:id="17"/>
      </w:r>
      <w:r w:rsidRPr="0086255B">
        <w:rPr>
          <w:rFonts w:cstheme="minorHAnsi"/>
          <w:lang w:val="hr-HR" w:eastAsia="hr-HR" w:bidi="hr-HR"/>
        </w:rPr>
        <w:t xml:space="preserve"> pružanje pomoći MSP-u koji je dobio pomoć za sanaciju, pomoć za restrukturiranje ili privremenu pomoć za restrukturiranje u prošlosti</w:t>
      </w:r>
      <w:r w:rsidRPr="0086255B">
        <w:rPr>
          <w:rFonts w:cstheme="minorHAnsi"/>
          <w:vertAlign w:val="superscript"/>
          <w:lang w:val="hr-HR" w:eastAsia="hr-HR" w:bidi="hr-HR"/>
        </w:rPr>
        <w:footnoteReference w:id="18"/>
      </w:r>
      <w:r w:rsidRPr="0086255B">
        <w:rPr>
          <w:rFonts w:cstheme="minorHAnsi"/>
          <w:lang w:val="hr-HR" w:eastAsia="hr-HR" w:bidi="hr-HR"/>
        </w:rPr>
        <w:t xml:space="preserve"> i/ili neku neprijavljenu pomoć?</w:t>
      </w:r>
    </w:p>
    <w:p w14:paraId="4BD5EC9B"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lastRenderedPageBreak/>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8E2CCC6" w14:textId="77777777" w:rsidR="003D725A" w:rsidRPr="0086255B" w:rsidRDefault="003D725A" w:rsidP="003D725A">
      <w:pPr>
        <w:widowControl w:val="0"/>
        <w:tabs>
          <w:tab w:val="left" w:pos="610"/>
        </w:tabs>
        <w:spacing w:before="120" w:after="120"/>
        <w:jc w:val="both"/>
        <w:rPr>
          <w:rFonts w:cstheme="minorHAnsi"/>
          <w:bCs/>
          <w:i/>
          <w:u w:val="single"/>
          <w:lang w:val="hr-HR" w:eastAsia="hr-HR" w:bidi="hr-HR"/>
        </w:rPr>
      </w:pPr>
      <w:r w:rsidRPr="0086255B">
        <w:rPr>
          <w:rFonts w:cstheme="minorHAnsi"/>
          <w:bCs/>
          <w:i/>
          <w:u w:val="single"/>
          <w:lang w:val="hr-HR" w:eastAsia="hr-HR" w:bidi="hr-HR"/>
        </w:rPr>
        <w:t>U slučaju pomoći za restrukturiranje:</w:t>
      </w:r>
    </w:p>
    <w:p w14:paraId="5FD6B94B" w14:textId="77777777" w:rsidR="003D725A" w:rsidRPr="0086255B" w:rsidRDefault="003D725A" w:rsidP="003D725A">
      <w:pPr>
        <w:numPr>
          <w:ilvl w:val="1"/>
          <w:numId w:val="18"/>
        </w:numPr>
        <w:spacing w:before="120" w:after="120" w:line="240" w:lineRule="auto"/>
        <w:ind w:left="360" w:hanging="360"/>
        <w:jc w:val="both"/>
        <w:rPr>
          <w:rFonts w:cstheme="minorHAnsi"/>
          <w:b/>
          <w:lang w:val="hr-HR" w:eastAsia="hr-HR" w:bidi="hr-HR"/>
        </w:rPr>
      </w:pPr>
      <w:r w:rsidRPr="0086255B">
        <w:rPr>
          <w:rFonts w:cstheme="minorHAnsi"/>
          <w:b/>
          <w:lang w:val="hr-HR" w:eastAsia="hr-HR" w:bidi="hr-HR"/>
        </w:rPr>
        <w:t>Mjere kojima se ograničava narušavanje konkurencije</w:t>
      </w:r>
      <w:r w:rsidRPr="0086255B">
        <w:rPr>
          <w:rFonts w:cstheme="minorHAnsi"/>
          <w:b/>
          <w:vertAlign w:val="superscript"/>
          <w:lang w:val="hr-HR" w:eastAsia="hr-HR" w:bidi="hr-HR"/>
        </w:rPr>
        <w:footnoteReference w:id="19"/>
      </w:r>
      <w:r w:rsidRPr="0086255B">
        <w:rPr>
          <w:rFonts w:cstheme="minorHAnsi"/>
          <w:b/>
          <w:lang w:val="hr-HR" w:eastAsia="hr-HR" w:bidi="hr-HR"/>
        </w:rPr>
        <w:t>:</w:t>
      </w:r>
    </w:p>
    <w:p w14:paraId="4B8F6BA1" w14:textId="77777777" w:rsidR="003D725A" w:rsidRPr="0086255B" w:rsidRDefault="003D725A" w:rsidP="003D725A">
      <w:pPr>
        <w:spacing w:before="120" w:after="120"/>
        <w:jc w:val="both"/>
        <w:rPr>
          <w:rFonts w:cstheme="minorHAnsi"/>
          <w:i/>
          <w:u w:val="single"/>
          <w:lang w:val="hr-HR" w:eastAsia="hr-HR" w:bidi="hr-HR"/>
        </w:rPr>
      </w:pPr>
      <w:r w:rsidRPr="0086255B">
        <w:rPr>
          <w:rFonts w:cstheme="minorHAnsi"/>
          <w:i/>
          <w:u w:val="single"/>
          <w:lang w:val="hr-HR" w:eastAsia="hr-HR" w:bidi="hr-HR"/>
        </w:rPr>
        <w:t>Strukturne mjere – prodaja imovine i smanjenje poslovne aktivnosti</w:t>
      </w:r>
    </w:p>
    <w:p w14:paraId="5820E337" w14:textId="77777777" w:rsidR="003D725A" w:rsidRPr="0086255B" w:rsidRDefault="003D725A" w:rsidP="003D725A">
      <w:pPr>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Da li šema od korisnika traži da proda imovinu ili smanji kapacitet ili tržišnu prisutnost</w:t>
      </w:r>
      <w:r w:rsidRPr="0086255B">
        <w:rPr>
          <w:rFonts w:cstheme="minorHAnsi"/>
          <w:vertAlign w:val="superscript"/>
          <w:lang w:val="hr-HR" w:eastAsia="hr-HR" w:bidi="hr-HR"/>
        </w:rPr>
        <w:footnoteReference w:id="20"/>
      </w:r>
      <w:r w:rsidRPr="0086255B">
        <w:rPr>
          <w:rFonts w:cstheme="minorHAnsi"/>
          <w:lang w:val="hr-HR" w:eastAsia="hr-HR" w:bidi="hr-HR"/>
        </w:rPr>
        <w:t xml:space="preserve"> uz naznaku relevantnih tržišta na kojima će se prodavati</w:t>
      </w:r>
      <w:r w:rsidRPr="0086255B">
        <w:rPr>
          <w:rFonts w:cstheme="minorHAnsi"/>
          <w:vertAlign w:val="superscript"/>
          <w:lang w:val="hr-HR" w:eastAsia="hr-HR" w:bidi="hr-HR"/>
        </w:rPr>
        <w:footnoteReference w:id="21"/>
      </w:r>
      <w:r w:rsidRPr="0086255B">
        <w:rPr>
          <w:rFonts w:cstheme="minorHAnsi"/>
          <w:lang w:val="hr-HR" w:eastAsia="hr-HR" w:bidi="hr-HR"/>
        </w:rPr>
        <w:t xml:space="preserve"> imovina i vremenski raspored</w:t>
      </w:r>
      <w:r w:rsidRPr="0086255B">
        <w:rPr>
          <w:rFonts w:cstheme="minorHAnsi"/>
          <w:vertAlign w:val="superscript"/>
          <w:lang w:val="hr-HR" w:eastAsia="hr-HR" w:bidi="hr-HR"/>
        </w:rPr>
        <w:footnoteReference w:id="22"/>
      </w:r>
      <w:r w:rsidRPr="0086255B">
        <w:rPr>
          <w:rFonts w:cstheme="minorHAnsi"/>
          <w:lang w:val="hr-HR" w:eastAsia="hr-HR" w:bidi="hr-HR"/>
        </w:rPr>
        <w:t xml:space="preserve"> te prodaje? </w:t>
      </w:r>
    </w:p>
    <w:p w14:paraId="00B9AC1F"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E0CCD64" w14:textId="77777777" w:rsidR="003D725A" w:rsidRPr="0086255B" w:rsidRDefault="003D725A" w:rsidP="003D725A">
      <w:pPr>
        <w:keepNext/>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Da li šema predviđa da bi strukturne mjere u načelu trebalo da budu u obliku prodaje imovine održivih samostalnih preduzetnika koji i dalje posluju, a koji bi dugoročno mogli biti konkurentni da ih vodi odgovarajući kupac? </w:t>
      </w:r>
    </w:p>
    <w:p w14:paraId="7C307501"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A05A085" w14:textId="77777777" w:rsidR="003D725A" w:rsidRPr="0086255B" w:rsidRDefault="003D725A" w:rsidP="003D725A">
      <w:pPr>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tačku (b) negativan, da li šema predviđa da bi korisnik, u slučaju da takav subjekt nije dostupan, mogao izdvojiti i naknadno prodati postojeću i na odgovarajući način finansiranu djelatnost, stvarajući tako novi i održivi subjekt koji bi mogao da bude konkurentan na tržištu?</w:t>
      </w:r>
    </w:p>
    <w:p w14:paraId="74EC0394"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D5228DF" w14:textId="77777777" w:rsidR="003D725A" w:rsidRPr="0086255B" w:rsidRDefault="003D725A" w:rsidP="003D725A">
      <w:pPr>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Ako šema dopušta strukturne mjere koje imaju samo oblik prodaje imovine i ne uključuju uspostavljanje održivog subjekta koji može da bude konkurentan na tržištu, mora li korisnik dokazati da ne bi bio izvediv ni jedan drugi oblik strukturnih mjera ili da bi se drugim strukturnim mjerama ozbiljno ugrozila ekonomska održivost privrednog društva? </w:t>
      </w:r>
    </w:p>
    <w:p w14:paraId="73F6C043"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C3AAE98" w14:textId="77777777" w:rsidR="003D725A" w:rsidRPr="0086255B" w:rsidRDefault="003D725A" w:rsidP="003D725A">
      <w:pPr>
        <w:spacing w:before="120" w:after="120"/>
        <w:jc w:val="both"/>
        <w:rPr>
          <w:rFonts w:cstheme="minorHAnsi"/>
          <w:i/>
          <w:u w:val="single"/>
          <w:lang w:val="hr-HR" w:eastAsia="hr-HR" w:bidi="hr-HR"/>
        </w:rPr>
      </w:pPr>
      <w:r w:rsidRPr="0086255B">
        <w:rPr>
          <w:rFonts w:cstheme="minorHAnsi"/>
          <w:i/>
          <w:u w:val="single"/>
          <w:lang w:val="hr-HR" w:eastAsia="hr-HR" w:bidi="hr-HR"/>
        </w:rPr>
        <w:t>Mjere praćenja poslovanja</w:t>
      </w:r>
    </w:p>
    <w:p w14:paraId="5248D88E" w14:textId="77777777" w:rsidR="003D725A" w:rsidRPr="0086255B" w:rsidRDefault="003D725A" w:rsidP="003D725A">
      <w:pPr>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Da li šema zahtijeva od korisnika da mora da se uzdržava od sticanja akcija u privrednim društvima tokom perioda restrukturiranja, osim kada je to neophodno kako bi se osigurala dugoročna održivost korisnika? </w:t>
      </w:r>
    </w:p>
    <w:p w14:paraId="4FA8A989"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lastRenderedPageBreak/>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47CC078" w14:textId="77777777" w:rsidR="003D725A" w:rsidRPr="0086255B" w:rsidRDefault="003D725A" w:rsidP="003D725A">
      <w:pPr>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Da li šema predviđa da se korisnik uzdržava od oglašavanja državne pomoći kao konkurentne prednosti prilikom stavljanja svojih proizvoda i usluga na tržište?</w:t>
      </w:r>
    </w:p>
    <w:p w14:paraId="10F06AF4"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243BE52" w14:textId="77777777" w:rsidR="003D725A" w:rsidRPr="0086255B" w:rsidRDefault="003D725A" w:rsidP="003D725A">
      <w:pPr>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Da li šema predviđa da se korisnik uzdržava od komercijalnog ponašanja čiji je cilj brzi rast njegovog tržišnog udjela koji se odnosi na posebne proizvode ili geografska tržišta pružanjem uslova (na primjer u pogledu cijene ili ostalih komercijalnih uslova) koje konkurenti koji ne primaju državnu pomoć ne mogu osigurati?</w:t>
      </w:r>
    </w:p>
    <w:p w14:paraId="2BE94C06"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0163BF3" w14:textId="77777777" w:rsidR="003D725A" w:rsidRPr="0086255B" w:rsidRDefault="003D725A" w:rsidP="003D725A">
      <w:pPr>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tačku (g) potvrdan, u kojim okolnostima? Objasnite.</w:t>
      </w:r>
    </w:p>
    <w:p w14:paraId="6006B4D7"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C547498" w14:textId="77777777" w:rsidR="003D725A" w:rsidRPr="0086255B" w:rsidRDefault="003D725A" w:rsidP="003D725A">
      <w:pPr>
        <w:keepNext/>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Da li šema predviđa druge mjere praćenja poslovanja? </w:t>
      </w:r>
      <w:r w:rsidRPr="0086255B">
        <w:rPr>
          <w:rFonts w:cstheme="minorHAnsi"/>
          <w:lang w:val="hr-HR" w:eastAsia="hr-HR" w:bidi="hr-HR"/>
        </w:rPr>
        <w:tab/>
      </w:r>
    </w:p>
    <w:p w14:paraId="4F09D8EA" w14:textId="77777777" w:rsidR="003D725A" w:rsidRPr="0086255B" w:rsidRDefault="003D725A" w:rsidP="003D725A">
      <w:pPr>
        <w:keepNext/>
        <w:spacing w:before="100" w:beforeAutospacing="1" w:after="100" w:afterAutospacing="1"/>
        <w:ind w:left="108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ne</w:t>
      </w:r>
    </w:p>
    <w:p w14:paraId="47D35FD9" w14:textId="77777777" w:rsidR="003D725A" w:rsidRPr="0086255B" w:rsidRDefault="003D725A" w:rsidP="003D725A">
      <w:pPr>
        <w:keepNext/>
        <w:spacing w:before="100" w:beforeAutospacing="1" w:after="100" w:afterAutospacing="1"/>
        <w:ind w:left="108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da. Ako jesu, opišite ih.</w:t>
      </w:r>
    </w:p>
    <w:p w14:paraId="1310F5AE"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CADD2A1" w14:textId="77777777" w:rsidR="003D725A" w:rsidRPr="0086255B" w:rsidRDefault="003D725A" w:rsidP="003D725A">
      <w:pPr>
        <w:spacing w:before="120" w:after="120"/>
        <w:jc w:val="both"/>
        <w:rPr>
          <w:rFonts w:cstheme="minorHAnsi"/>
          <w:i/>
          <w:u w:val="single"/>
          <w:lang w:val="hr-HR" w:eastAsia="hr-HR" w:bidi="hr-HR"/>
        </w:rPr>
      </w:pPr>
      <w:r w:rsidRPr="0086255B">
        <w:rPr>
          <w:rFonts w:cstheme="minorHAnsi"/>
          <w:i/>
          <w:u w:val="single"/>
          <w:lang w:val="hr-HR" w:eastAsia="hr-HR" w:bidi="hr-HR"/>
        </w:rPr>
        <w:t>Mjere za otvaranje tržišta</w:t>
      </w:r>
    </w:p>
    <w:p w14:paraId="037629BB" w14:textId="77777777" w:rsidR="003D725A" w:rsidRPr="0086255B" w:rsidRDefault="003D725A" w:rsidP="003D725A">
      <w:pPr>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Da li šema omogućava da nacionalni organi ili korisnik donesu mjere kojima je cilj da promovišu otvorenija, zdravija i konkurentnija tržišta, na primjer omogućavanjem lakšeg ulaska na tržište ili izlaska sa tržišta</w:t>
      </w:r>
      <w:r w:rsidRPr="0086255B">
        <w:rPr>
          <w:rFonts w:cstheme="minorHAnsi"/>
          <w:vertAlign w:val="superscript"/>
          <w:lang w:val="hr-HR" w:eastAsia="hr-HR" w:bidi="hr-HR"/>
        </w:rPr>
        <w:footnoteReference w:id="23"/>
      </w:r>
      <w:r w:rsidRPr="0086255B">
        <w:rPr>
          <w:rFonts w:cstheme="minorHAnsi"/>
          <w:lang w:val="hr-HR" w:eastAsia="hr-HR" w:bidi="hr-HR"/>
        </w:rPr>
        <w:t xml:space="preserve">?  </w:t>
      </w:r>
    </w:p>
    <w:p w14:paraId="672BAA19"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1295FA5" w14:textId="77777777" w:rsidR="003D725A" w:rsidRPr="0086255B" w:rsidRDefault="003D725A" w:rsidP="003D725A">
      <w:pPr>
        <w:numPr>
          <w:ilvl w:val="0"/>
          <w:numId w:val="17"/>
        </w:numPr>
        <w:spacing w:before="120" w:after="120" w:line="240" w:lineRule="auto"/>
        <w:ind w:left="360"/>
        <w:jc w:val="both"/>
        <w:rPr>
          <w:rFonts w:cstheme="minorHAnsi"/>
          <w:lang w:val="hr-HR" w:eastAsia="hr-HR" w:bidi="hr-HR"/>
        </w:rPr>
      </w:pPr>
      <w:r w:rsidRPr="0086255B">
        <w:rPr>
          <w:rFonts w:cstheme="minorHAnsi"/>
          <w:lang w:val="hr-HR" w:eastAsia="hr-HR" w:bidi="hr-HR"/>
        </w:rPr>
        <w:t>Ako je odgovor na tačku (j) potvrdan, opišite:</w:t>
      </w:r>
    </w:p>
    <w:p w14:paraId="7B46F941"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CD53B48"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D725A" w:rsidRPr="0086255B" w14:paraId="5BC17DB1" w14:textId="77777777" w:rsidTr="00D507D9">
        <w:tc>
          <w:tcPr>
            <w:tcW w:w="5000" w:type="pct"/>
            <w:tcBorders>
              <w:top w:val="single" w:sz="4" w:space="0" w:color="auto"/>
              <w:left w:val="single" w:sz="4" w:space="0" w:color="auto"/>
              <w:bottom w:val="single" w:sz="4" w:space="0" w:color="auto"/>
              <w:right w:val="single" w:sz="4" w:space="0" w:color="auto"/>
            </w:tcBorders>
            <w:shd w:val="pct15" w:color="auto" w:fill="FFFFFF"/>
          </w:tcPr>
          <w:p w14:paraId="4B501EFC" w14:textId="77777777" w:rsidR="003D725A" w:rsidRPr="0086255B" w:rsidRDefault="003D725A" w:rsidP="003D725A">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Uopšteno</w:t>
            </w:r>
          </w:p>
        </w:tc>
      </w:tr>
    </w:tbl>
    <w:p w14:paraId="28FFC878" w14:textId="77777777" w:rsidR="003D725A" w:rsidRPr="0086255B" w:rsidRDefault="003D725A" w:rsidP="003D725A">
      <w:pPr>
        <w:numPr>
          <w:ilvl w:val="1"/>
          <w:numId w:val="19"/>
        </w:numPr>
        <w:spacing w:before="120" w:after="120" w:line="240" w:lineRule="auto"/>
        <w:ind w:left="360" w:hanging="360"/>
        <w:jc w:val="both"/>
        <w:rPr>
          <w:rFonts w:cstheme="minorHAnsi"/>
          <w:b/>
          <w:lang w:val="hr-HR" w:eastAsia="hr-HR" w:bidi="hr-HR"/>
        </w:rPr>
      </w:pPr>
      <w:r w:rsidRPr="0086255B">
        <w:rPr>
          <w:rFonts w:cstheme="minorHAnsi"/>
          <w:lang w:val="hr-HR" w:eastAsia="hr-HR" w:bidi="hr-HR"/>
        </w:rPr>
        <w:t>Da li se šema primjenjuje na MSP-ove u potpomognutom području?</w:t>
      </w:r>
    </w:p>
    <w:p w14:paraId="77BA5CE9" w14:textId="77777777" w:rsidR="003D725A" w:rsidRPr="0086255B" w:rsidRDefault="003D725A" w:rsidP="003D725A">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38B5520" w14:textId="77777777" w:rsidR="003D725A" w:rsidRPr="0086255B" w:rsidRDefault="003D725A" w:rsidP="003D725A">
      <w:pPr>
        <w:numPr>
          <w:ilvl w:val="1"/>
          <w:numId w:val="19"/>
        </w:numPr>
        <w:spacing w:before="120" w:after="120" w:line="240" w:lineRule="auto"/>
        <w:ind w:left="360" w:hanging="360"/>
        <w:jc w:val="both"/>
        <w:rPr>
          <w:rFonts w:cstheme="minorHAnsi"/>
          <w:lang w:val="hr-HR" w:eastAsia="hr-HR" w:bidi="hr-HR"/>
        </w:rPr>
      </w:pPr>
      <w:r w:rsidRPr="0086255B">
        <w:rPr>
          <w:rFonts w:cstheme="minorHAnsi"/>
          <w:lang w:val="hr-HR" w:eastAsia="hr-HR" w:bidi="hr-HR"/>
        </w:rPr>
        <w:t>Da li se u okviru šeme primjenjuju posebne odredbe na MSP-ove u potpomognutom području?</w:t>
      </w:r>
    </w:p>
    <w:p w14:paraId="534D777A" w14:textId="77777777" w:rsidR="003D725A" w:rsidRPr="0086255B" w:rsidRDefault="003D725A" w:rsidP="003D725A">
      <w:pPr>
        <w:spacing w:before="120" w:after="120"/>
        <w:ind w:left="360"/>
        <w:jc w:val="both"/>
        <w:rPr>
          <w:rFonts w:cstheme="minorHAnsi"/>
          <w:lang w:val="hr-HR" w:eastAsia="hr-HR" w:bidi="hr-HR"/>
        </w:rPr>
      </w:pPr>
      <w:r w:rsidRPr="0086255B">
        <w:rPr>
          <w:rFonts w:cstheme="minorHAnsi"/>
          <w:lang w:val="hr-HR" w:eastAsia="hr-HR" w:bidi="hr-HR"/>
        </w:rPr>
        <w:lastRenderedPageBreak/>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DED6EC4" w14:textId="77777777" w:rsidR="003D725A" w:rsidRPr="0086255B" w:rsidRDefault="003D725A" w:rsidP="003D725A">
      <w:pPr>
        <w:numPr>
          <w:ilvl w:val="1"/>
          <w:numId w:val="19"/>
        </w:numPr>
        <w:spacing w:before="120" w:after="120" w:line="240" w:lineRule="auto"/>
        <w:ind w:left="360" w:hanging="360"/>
        <w:jc w:val="both"/>
        <w:rPr>
          <w:rFonts w:cstheme="minorHAnsi"/>
          <w:b/>
          <w:lang w:val="hr-HR" w:eastAsia="hr-HR" w:bidi="hr-HR"/>
        </w:rPr>
      </w:pPr>
      <w:r w:rsidRPr="0086255B">
        <w:rPr>
          <w:rFonts w:cstheme="minorHAnsi"/>
          <w:lang w:val="hr-HR" w:eastAsia="hr-HR" w:bidi="hr-HR"/>
        </w:rPr>
        <w:t>Ako je odgovor na tačku 9.2 potvrdan, objasnite koje se posebne odredbe primjenjuju i zašto su opravdane.</w:t>
      </w:r>
    </w:p>
    <w:p w14:paraId="78BF412C"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C342B5F"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870B50D" w14:textId="77777777" w:rsidR="003D725A" w:rsidRPr="0086255B" w:rsidRDefault="003D725A" w:rsidP="003D725A">
      <w:pPr>
        <w:numPr>
          <w:ilvl w:val="1"/>
          <w:numId w:val="19"/>
        </w:numPr>
        <w:spacing w:before="120" w:after="120" w:line="240" w:lineRule="auto"/>
        <w:ind w:left="360" w:hanging="360"/>
        <w:jc w:val="both"/>
        <w:rPr>
          <w:rFonts w:cstheme="minorHAnsi"/>
          <w:b/>
          <w:lang w:val="hr-HR" w:eastAsia="hr-HR" w:bidi="hr-HR"/>
        </w:rPr>
      </w:pPr>
      <w:r w:rsidRPr="0086255B">
        <w:rPr>
          <w:rFonts w:cstheme="minorHAnsi"/>
          <w:lang w:val="hr-HR" w:eastAsia="hr-HR" w:bidi="hr-HR"/>
        </w:rPr>
        <w:t>Da li nacionalni nadležni organi planiraju da prihvate doprinos koji čini manje od 40 % troškova restrukturiranja u slučaju srednjih preduzeća ili manje od 25 % troškova restrukturiranja u slučaju malih poduzeća?</w:t>
      </w:r>
    </w:p>
    <w:p w14:paraId="76DE8FE2" w14:textId="77777777" w:rsidR="003D725A" w:rsidRPr="0086255B" w:rsidRDefault="003D725A" w:rsidP="003D725A">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342BAF9" w14:textId="77777777" w:rsidR="003D725A" w:rsidRPr="0086255B" w:rsidRDefault="003D725A" w:rsidP="003D725A">
      <w:pPr>
        <w:keepNext/>
        <w:numPr>
          <w:ilvl w:val="1"/>
          <w:numId w:val="19"/>
        </w:numPr>
        <w:spacing w:before="120" w:after="120" w:line="240" w:lineRule="auto"/>
        <w:ind w:left="360" w:hanging="360"/>
        <w:jc w:val="both"/>
        <w:rPr>
          <w:rFonts w:cstheme="minorHAnsi"/>
          <w:b/>
          <w:lang w:val="hr-HR" w:eastAsia="hr-HR" w:bidi="hr-HR"/>
        </w:rPr>
      </w:pPr>
      <w:r w:rsidRPr="0086255B">
        <w:rPr>
          <w:rFonts w:cstheme="minorHAnsi"/>
          <w:lang w:val="hr-HR" w:eastAsia="hr-HR" w:bidi="hr-HR"/>
        </w:rPr>
        <w:t>Ako je odgovor na tačku 9.4 potvrdan, objasnite kako će nacionalni nadležni organi primjenjivati zahtjeve koji se odnose na mjere za ograničavanje narušavanja konkurencije u cilju ograničavanja negativnih sistemskih uticaja na region:</w:t>
      </w:r>
      <w:r w:rsidRPr="0086255B">
        <w:rPr>
          <w:rFonts w:cstheme="minorHAnsi"/>
          <w:b/>
          <w:lang w:val="hr-HR" w:eastAsia="hr-HR" w:bidi="hr-HR"/>
        </w:rPr>
        <w:t xml:space="preserve"> </w:t>
      </w:r>
    </w:p>
    <w:p w14:paraId="420BD59F"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B0F1591" w14:textId="77777777" w:rsidR="003D725A" w:rsidRPr="0086255B" w:rsidRDefault="003D725A" w:rsidP="003D725A">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D725A" w:rsidRPr="0086255B" w14:paraId="68E92D9E" w14:textId="77777777" w:rsidTr="00D507D9">
        <w:tc>
          <w:tcPr>
            <w:tcW w:w="5000" w:type="pct"/>
            <w:tcBorders>
              <w:top w:val="single" w:sz="4" w:space="0" w:color="auto"/>
              <w:bottom w:val="single" w:sz="4" w:space="0" w:color="auto"/>
            </w:tcBorders>
            <w:shd w:val="pct15" w:color="auto" w:fill="FFFFFF"/>
          </w:tcPr>
          <w:p w14:paraId="6CBB4F96" w14:textId="77777777" w:rsidR="003D725A" w:rsidRPr="0086255B" w:rsidRDefault="003D725A" w:rsidP="003D725A">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Ostali podaci</w:t>
            </w:r>
          </w:p>
        </w:tc>
      </w:tr>
    </w:tbl>
    <w:p w14:paraId="5487F79D" w14:textId="77777777" w:rsidR="003D725A" w:rsidRPr="0086255B" w:rsidRDefault="003D725A" w:rsidP="003D725A">
      <w:pPr>
        <w:spacing w:before="120" w:after="120"/>
        <w:jc w:val="both"/>
        <w:rPr>
          <w:rFonts w:cstheme="minorHAnsi"/>
          <w:lang w:val="hr-HR" w:eastAsia="hr-HR" w:bidi="hr-HR"/>
        </w:rPr>
      </w:pPr>
      <w:r w:rsidRPr="0086255B">
        <w:rPr>
          <w:rFonts w:cstheme="minorHAnsi"/>
          <w:lang w:val="hr-HR" w:eastAsia="hr-HR" w:bidi="hr-HR"/>
        </w:rPr>
        <w:t>Ovdje navedite sve ostale podatke odgovarajuće za ocjenu prijavljene mjere pomoći u skladu sa Smjernicama (npr. u pogledu mjera za povećanje zapošljivosti otpuštenih radnika ili pomoći za pronalazak novog zaposlenja):</w:t>
      </w:r>
    </w:p>
    <w:p w14:paraId="1E2ED720" w14:textId="7F332D7B" w:rsidR="001E27D7" w:rsidRDefault="003D725A" w:rsidP="003D725A">
      <w:r w:rsidRPr="0086255B">
        <w:rPr>
          <w:rFonts w:cstheme="minorHAnsi"/>
          <w:lang w:val="hr-HR" w:eastAsia="hr-HR" w:bidi="hr-HR"/>
        </w:rPr>
        <w:tab/>
      </w:r>
      <w:bookmarkStart w:id="2" w:name="_GoBack"/>
      <w:bookmarkEnd w:id="2"/>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2EEAA" w14:textId="77777777" w:rsidR="00C35F47" w:rsidRDefault="00C35F47" w:rsidP="003D725A">
      <w:pPr>
        <w:spacing w:after="0" w:line="240" w:lineRule="auto"/>
      </w:pPr>
      <w:r>
        <w:separator/>
      </w:r>
    </w:p>
  </w:endnote>
  <w:endnote w:type="continuationSeparator" w:id="0">
    <w:p w14:paraId="2386333E" w14:textId="77777777" w:rsidR="00C35F47" w:rsidRDefault="00C35F47" w:rsidP="003D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27BC7" w14:textId="77777777" w:rsidR="00C35F47" w:rsidRDefault="00C35F47" w:rsidP="003D725A">
      <w:pPr>
        <w:spacing w:after="0" w:line="240" w:lineRule="auto"/>
      </w:pPr>
      <w:r>
        <w:separator/>
      </w:r>
    </w:p>
  </w:footnote>
  <w:footnote w:type="continuationSeparator" w:id="0">
    <w:p w14:paraId="491F851C" w14:textId="77777777" w:rsidR="00C35F47" w:rsidRDefault="00C35F47" w:rsidP="003D725A">
      <w:pPr>
        <w:spacing w:after="0" w:line="240" w:lineRule="auto"/>
      </w:pPr>
      <w:r>
        <w:continuationSeparator/>
      </w:r>
    </w:p>
  </w:footnote>
  <w:footnote w:id="1">
    <w:p w14:paraId="6964B3A7" w14:textId="77777777" w:rsidR="003D725A" w:rsidRPr="00CF3678" w:rsidRDefault="003D725A" w:rsidP="003D725A">
      <w:pPr>
        <w:pStyle w:val="FootnoteText"/>
        <w:spacing w:before="0" w:after="0"/>
        <w:ind w:left="0" w:firstLine="0"/>
        <w:contextualSpacing/>
        <w:rPr>
          <w:rFonts w:ascii="Calibri" w:hAnsi="Calibri" w:cs="Calibri"/>
          <w:noProof/>
          <w:lang w:val="sr-Latn-ME"/>
        </w:rPr>
      </w:pPr>
      <w:r w:rsidRPr="00CF3678">
        <w:rPr>
          <w:rStyle w:val="FootnoteReference"/>
          <w:rFonts w:ascii="Calibri" w:hAnsi="Calibri" w:cs="Calibri"/>
          <w:noProof/>
          <w:lang w:val="sr-Latn-ME"/>
        </w:rPr>
        <w:footnoteRef/>
      </w:r>
      <w:r w:rsidRPr="00CF3678">
        <w:rPr>
          <w:rFonts w:ascii="Calibri" w:hAnsi="Calibri" w:cs="Calibri"/>
          <w:noProof/>
          <w:lang w:val="sr-Latn-ME"/>
        </w:rPr>
        <w:t xml:space="preserve"> Sl. list C 249, 31.7.2014, str. 1.</w:t>
      </w:r>
    </w:p>
  </w:footnote>
  <w:footnote w:id="2">
    <w:p w14:paraId="574D0421" w14:textId="77777777" w:rsidR="003D725A" w:rsidRPr="00CF3678" w:rsidRDefault="003D725A" w:rsidP="003D725A">
      <w:pPr>
        <w:pStyle w:val="FootnoteText"/>
        <w:spacing w:before="0" w:after="0"/>
        <w:ind w:left="0" w:firstLine="0"/>
        <w:contextualSpacing/>
        <w:rPr>
          <w:rFonts w:ascii="Calibri" w:hAnsi="Calibri" w:cs="Calibri"/>
          <w:noProof/>
          <w:lang w:val="sr-Latn-ME"/>
        </w:rPr>
      </w:pPr>
      <w:r w:rsidRPr="00CF3678">
        <w:rPr>
          <w:rStyle w:val="FootnoteReference"/>
          <w:rFonts w:ascii="Calibri" w:hAnsi="Calibri" w:cs="Calibri"/>
          <w:noProof/>
          <w:lang w:val="sr-Latn-ME"/>
        </w:rPr>
        <w:footnoteRef/>
      </w:r>
      <w:r w:rsidRPr="00CF3678">
        <w:rPr>
          <w:rFonts w:ascii="Calibri" w:hAnsi="Calibri" w:cs="Calibri"/>
          <w:noProof/>
          <w:lang w:val="sr-Latn-ME"/>
        </w:rPr>
        <w:t xml:space="preserve"> </w:t>
      </w:r>
      <w:r w:rsidRPr="00CF3678">
        <w:rPr>
          <w:rFonts w:ascii="Calibri" w:hAnsi="Calibri" w:cs="Calibri"/>
          <w:noProof/>
          <w:lang w:val="sr-Latn-ME"/>
        </w:rPr>
        <w:t>U skladu sa definicijom u Preporuci Komisije 2003/361/EZ od 6. maja 2003. godine o definiciji mikro, malih i srednjih poduzeća (</w:t>
      </w:r>
      <w:r>
        <w:rPr>
          <w:rFonts w:ascii="Calibri" w:hAnsi="Calibri" w:cs="Calibri"/>
          <w:noProof/>
          <w:lang w:val="sr-Latn-ME"/>
        </w:rPr>
        <w:t>SL</w:t>
      </w:r>
      <w:r w:rsidRPr="00CF3678">
        <w:rPr>
          <w:rFonts w:ascii="Calibri" w:hAnsi="Calibri" w:cs="Calibri"/>
          <w:noProof/>
          <w:lang w:val="sr-Latn-ME"/>
        </w:rPr>
        <w:t xml:space="preserve"> L 124, 20.5.2003, str. 36).</w:t>
      </w:r>
    </w:p>
  </w:footnote>
  <w:footnote w:id="3">
    <w:p w14:paraId="40A4467F" w14:textId="77777777" w:rsidR="003D725A" w:rsidRPr="00CF3678" w:rsidRDefault="003D725A" w:rsidP="003D725A">
      <w:pPr>
        <w:pStyle w:val="FootnoteText"/>
        <w:spacing w:before="0" w:after="0"/>
        <w:ind w:left="0" w:firstLine="0"/>
        <w:contextualSpacing/>
        <w:rPr>
          <w:rFonts w:ascii="Calibri" w:hAnsi="Calibri" w:cs="Calibri"/>
          <w:noProof/>
          <w:lang w:val="sr-Latn-ME"/>
        </w:rPr>
      </w:pPr>
      <w:r w:rsidRPr="00CF3678">
        <w:rPr>
          <w:rStyle w:val="FootnoteReference"/>
          <w:rFonts w:ascii="Calibri" w:hAnsi="Calibri" w:cs="Calibri"/>
          <w:noProof/>
          <w:lang w:val="sr-Latn-ME"/>
        </w:rPr>
        <w:footnoteRef/>
      </w:r>
      <w:r w:rsidRPr="00CF3678">
        <w:rPr>
          <w:rFonts w:ascii="Calibri" w:hAnsi="Calibri" w:cs="Calibri"/>
          <w:noProof/>
          <w:lang w:val="sr-Latn-ME"/>
        </w:rPr>
        <w:t xml:space="preserve"> </w:t>
      </w:r>
      <w:r w:rsidRPr="00CF3678">
        <w:rPr>
          <w:rFonts w:ascii="Calibri" w:hAnsi="Calibri" w:cs="Calibri"/>
          <w:noProof/>
          <w:lang w:val="sr-Latn-ME"/>
        </w:rPr>
        <w:t xml:space="preserve">„Manja privredna društva u državnom vlasništvu” su privredne jedinice nezavisne u odlučivanju koje bi se mogle smatrati malim ili srednjim </w:t>
      </w:r>
      <w:r>
        <w:rPr>
          <w:rFonts w:ascii="Calibri" w:hAnsi="Calibri" w:cs="Calibri"/>
          <w:noProof/>
          <w:lang w:val="sr-Latn-ME"/>
        </w:rPr>
        <w:t xml:space="preserve">preduzećima </w:t>
      </w:r>
      <w:r w:rsidRPr="00CF3678">
        <w:rPr>
          <w:rFonts w:ascii="Calibri" w:hAnsi="Calibri" w:cs="Calibri"/>
          <w:noProof/>
          <w:lang w:val="sr-Latn-ME"/>
        </w:rPr>
        <w:t>u skladu sa Preporukom 2003/361/EZ da 25 % ili više kapitala ili glasačkih prava direktno ili indirektno ne kontroliše, zajedno ili pojedinačno, jed</w:t>
      </w:r>
      <w:r>
        <w:rPr>
          <w:rFonts w:ascii="Calibri" w:hAnsi="Calibri" w:cs="Calibri"/>
          <w:noProof/>
          <w:lang w:val="sr-Latn-ME"/>
        </w:rPr>
        <w:t>an</w:t>
      </w:r>
      <w:r w:rsidRPr="00CF3678">
        <w:rPr>
          <w:rFonts w:ascii="Calibri" w:hAnsi="Calibri" w:cs="Calibri"/>
          <w:noProof/>
          <w:lang w:val="sr-Latn-ME"/>
        </w:rPr>
        <w:t xml:space="preserve"> javn</w:t>
      </w:r>
      <w:r>
        <w:rPr>
          <w:rFonts w:ascii="Calibri" w:hAnsi="Calibri" w:cs="Calibri"/>
          <w:noProof/>
          <w:lang w:val="sr-Latn-ME"/>
        </w:rPr>
        <w:t>i organ</w:t>
      </w:r>
      <w:r w:rsidRPr="00CF3678">
        <w:rPr>
          <w:rFonts w:ascii="Calibri" w:hAnsi="Calibri" w:cs="Calibri"/>
          <w:noProof/>
          <w:lang w:val="sr-Latn-ME"/>
        </w:rPr>
        <w:t xml:space="preserve"> ili više njih.</w:t>
      </w:r>
    </w:p>
  </w:footnote>
  <w:footnote w:id="4">
    <w:p w14:paraId="79314E2D" w14:textId="77777777" w:rsidR="003D725A" w:rsidRPr="00CF3678" w:rsidRDefault="003D725A" w:rsidP="003D725A">
      <w:pPr>
        <w:pStyle w:val="FootnoteText"/>
        <w:spacing w:before="0" w:after="0"/>
        <w:ind w:left="0" w:firstLine="0"/>
        <w:contextualSpacing/>
        <w:rPr>
          <w:rFonts w:ascii="Calibri" w:hAnsi="Calibri" w:cs="Calibri"/>
          <w:noProof/>
          <w:lang w:val="sr-Latn-ME"/>
        </w:rPr>
      </w:pPr>
      <w:r w:rsidRPr="00CF3678">
        <w:rPr>
          <w:rStyle w:val="FootnoteReference"/>
          <w:rFonts w:ascii="Calibri" w:hAnsi="Calibri" w:cs="Calibri"/>
          <w:noProof/>
          <w:lang w:val="sr-Latn-ME"/>
        </w:rPr>
        <w:footnoteRef/>
      </w:r>
      <w:r w:rsidRPr="00CF3678">
        <w:rPr>
          <w:rFonts w:ascii="Calibri" w:hAnsi="Calibri" w:cs="Calibri"/>
          <w:noProof/>
          <w:lang w:val="sr-Latn-ME"/>
        </w:rPr>
        <w:t xml:space="preserve"> </w:t>
      </w:r>
      <w:r w:rsidRPr="00CF3678">
        <w:rPr>
          <w:rFonts w:ascii="Calibri" w:hAnsi="Calibri" w:cs="Calibri"/>
          <w:noProof/>
          <w:lang w:val="sr-Latn-ME"/>
        </w:rPr>
        <w:t>To se neročito odnosi na vrste društava navedene u Prilogu I Direktivi 2013/34/EU Evropskog parlamenta i Savjeta od 26. juna 2013. o godišnjim finansijskim izvještajima, konsolidovanim finansijskim izvještajima i povezanim izvještajima za određene vrste privrednih društava, o izmjeni Direktive 2006/43/EZ Evropskog parlamenta i Savjeta i o stavljanju van snage direktiva Savjeta 78/660/EEZ i 83/349/EEZ (</w:t>
      </w:r>
      <w:r>
        <w:rPr>
          <w:rFonts w:ascii="Calibri" w:hAnsi="Calibri" w:cs="Calibri"/>
          <w:noProof/>
          <w:lang w:val="sr-Latn-ME"/>
        </w:rPr>
        <w:t>SL</w:t>
      </w:r>
      <w:r w:rsidRPr="00CF3678">
        <w:rPr>
          <w:rFonts w:ascii="Calibri" w:hAnsi="Calibri" w:cs="Calibri"/>
          <w:noProof/>
          <w:lang w:val="sr-Latn-ME"/>
        </w:rPr>
        <w:t xml:space="preserve"> L 182, 29.6.2013, str. 19)</w:t>
      </w:r>
    </w:p>
  </w:footnote>
  <w:footnote w:id="5">
    <w:p w14:paraId="7390FE98" w14:textId="77777777" w:rsidR="003D725A" w:rsidRPr="00CF3678" w:rsidRDefault="003D725A" w:rsidP="003D725A">
      <w:pPr>
        <w:pStyle w:val="FootnoteText"/>
        <w:spacing w:before="0" w:after="0"/>
        <w:ind w:left="0" w:firstLine="0"/>
        <w:contextualSpacing/>
        <w:rPr>
          <w:rFonts w:ascii="Calibri" w:hAnsi="Calibri" w:cs="Calibri"/>
          <w:noProof/>
          <w:lang w:val="sr-Latn-ME"/>
        </w:rPr>
      </w:pPr>
      <w:r w:rsidRPr="00CF3678">
        <w:rPr>
          <w:rStyle w:val="FootnoteReference"/>
          <w:rFonts w:ascii="Calibri" w:hAnsi="Calibri" w:cs="Calibri"/>
          <w:noProof/>
          <w:lang w:val="sr-Latn-ME"/>
        </w:rPr>
        <w:footnoteRef/>
      </w:r>
      <w:r w:rsidRPr="00CF3678">
        <w:rPr>
          <w:rFonts w:ascii="Calibri" w:hAnsi="Calibri" w:cs="Calibri"/>
          <w:noProof/>
          <w:lang w:val="sr-Latn-ME"/>
        </w:rPr>
        <w:t xml:space="preserve"> </w:t>
      </w:r>
      <w:r w:rsidRPr="00CF3678">
        <w:rPr>
          <w:rFonts w:ascii="Calibri" w:hAnsi="Calibri" w:cs="Calibri"/>
          <w:noProof/>
          <w:lang w:val="sr-Latn-ME"/>
        </w:rPr>
        <w:t>To se događa kada se odbijanjem akumuliranih gubitaka od rezervi (i svih drugih elemenata koji se uopšteno smatraju dijelom vlastitog kapitala društva) dobije negativan kumulativni iznos koji prelazi polovinu upisanog osnovnog kapitala.</w:t>
      </w:r>
    </w:p>
  </w:footnote>
  <w:footnote w:id="6">
    <w:p w14:paraId="1C83FCF0" w14:textId="77777777" w:rsidR="003D725A" w:rsidRPr="00CF3678" w:rsidRDefault="003D725A" w:rsidP="003D725A">
      <w:pPr>
        <w:pStyle w:val="FootnoteText"/>
        <w:spacing w:before="0" w:after="0"/>
        <w:ind w:left="0" w:firstLine="0"/>
        <w:contextualSpacing/>
        <w:rPr>
          <w:rFonts w:ascii="Calibri" w:hAnsi="Calibri" w:cs="Calibri"/>
          <w:lang w:val="pl-PL"/>
        </w:rPr>
      </w:pPr>
      <w:r w:rsidRPr="00CF3678">
        <w:rPr>
          <w:rStyle w:val="FootnoteReference"/>
          <w:rFonts w:ascii="Calibri" w:hAnsi="Calibri" w:cs="Calibri"/>
        </w:rPr>
        <w:footnoteRef/>
      </w:r>
      <w:r w:rsidRPr="00CF3678">
        <w:rPr>
          <w:rFonts w:ascii="Calibri" w:hAnsi="Calibri" w:cs="Calibri"/>
          <w:lang w:val="pl-PL"/>
        </w:rPr>
        <w:t xml:space="preserve"> </w:t>
      </w:r>
      <w:r w:rsidRPr="00CF3678">
        <w:rPr>
          <w:rFonts w:ascii="Calibri" w:hAnsi="Calibri" w:cs="Calibri"/>
          <w:lang w:val="pl-PL"/>
        </w:rPr>
        <w:t>To se posebno odnosi na vrste društava navedene u Prilogu II Direktivi 2013/34/EU.</w:t>
      </w:r>
    </w:p>
  </w:footnote>
  <w:footnote w:id="7">
    <w:p w14:paraId="0E8B5670" w14:textId="77777777" w:rsidR="003D725A" w:rsidRPr="00CF3678" w:rsidRDefault="003D725A" w:rsidP="003D725A">
      <w:pPr>
        <w:pStyle w:val="FootnoteText"/>
        <w:spacing w:before="0" w:after="0"/>
        <w:ind w:left="0" w:firstLine="0"/>
        <w:contextualSpacing/>
        <w:rPr>
          <w:rFonts w:ascii="Calibri" w:hAnsi="Calibri" w:cs="Calibri"/>
          <w:lang w:val="pl-PL"/>
        </w:rPr>
      </w:pPr>
      <w:r w:rsidRPr="00CF3678">
        <w:rPr>
          <w:rStyle w:val="FootnoteReference"/>
          <w:rFonts w:ascii="Calibri" w:hAnsi="Calibri" w:cs="Calibri"/>
        </w:rPr>
        <w:footnoteRef/>
      </w:r>
      <w:r w:rsidRPr="00CF3678">
        <w:rPr>
          <w:rFonts w:ascii="Calibri" w:hAnsi="Calibri" w:cs="Calibri"/>
          <w:lang w:val="pl-PL"/>
        </w:rPr>
        <w:t xml:space="preserve"> </w:t>
      </w:r>
      <w:r w:rsidRPr="00CF3678">
        <w:rPr>
          <w:rFonts w:ascii="Calibri" w:hAnsi="Calibri" w:cs="Calibri"/>
          <w:lang w:val="pl-PL"/>
        </w:rPr>
        <w:t xml:space="preserve">Kako </w:t>
      </w:r>
      <w:r w:rsidRPr="00CF3678">
        <w:rPr>
          <w:rFonts w:ascii="Calibri" w:hAnsi="Calibri" w:cs="Calibri"/>
          <w:lang w:val="pl-PL"/>
        </w:rPr>
        <w:t>je utvrđeno u Odluci 2010/787/EU.</w:t>
      </w:r>
    </w:p>
  </w:footnote>
  <w:footnote w:id="8">
    <w:p w14:paraId="127FB299" w14:textId="77777777" w:rsidR="003D725A" w:rsidRPr="00CF3678" w:rsidRDefault="003D725A" w:rsidP="003D725A">
      <w:pPr>
        <w:pStyle w:val="FootnoteText"/>
        <w:spacing w:before="0" w:after="0"/>
        <w:ind w:left="0" w:firstLine="0"/>
        <w:contextualSpacing/>
        <w:rPr>
          <w:rFonts w:ascii="Calibri" w:hAnsi="Calibri" w:cs="Calibri"/>
          <w:lang w:val="pl-PL"/>
        </w:rPr>
      </w:pPr>
      <w:r w:rsidRPr="00CF3678">
        <w:rPr>
          <w:rStyle w:val="FootnoteReference"/>
          <w:rFonts w:ascii="Calibri" w:hAnsi="Calibri" w:cs="Calibri"/>
        </w:rPr>
        <w:footnoteRef/>
      </w:r>
      <w:r w:rsidRPr="00CF3678">
        <w:rPr>
          <w:rFonts w:ascii="Calibri" w:hAnsi="Calibri" w:cs="Calibri"/>
          <w:lang w:val="pl-PL"/>
        </w:rPr>
        <w:t xml:space="preserve"> </w:t>
      </w:r>
      <w:r w:rsidRPr="00CF3678">
        <w:rPr>
          <w:rFonts w:ascii="Calibri" w:hAnsi="Calibri" w:cs="Calibri"/>
          <w:lang w:val="pl-PL"/>
        </w:rPr>
        <w:t xml:space="preserve">Kako </w:t>
      </w:r>
      <w:r w:rsidRPr="00CF3678">
        <w:rPr>
          <w:rFonts w:ascii="Calibri" w:hAnsi="Calibri" w:cs="Calibri"/>
          <w:lang w:val="pl-PL"/>
        </w:rPr>
        <w:t>je utvrđeno u Prilogu IV Saopštenja Komisije: Smjernice za regionalnu državnu pomoć za period 2014 – 2020. (</w:t>
      </w:r>
      <w:r>
        <w:rPr>
          <w:rFonts w:ascii="Calibri" w:hAnsi="Calibri" w:cs="Calibri"/>
          <w:lang w:val="pl-PL"/>
        </w:rPr>
        <w:t>SL</w:t>
      </w:r>
      <w:r w:rsidRPr="00CF3678">
        <w:rPr>
          <w:rFonts w:ascii="Calibri" w:hAnsi="Calibri" w:cs="Calibri"/>
          <w:lang w:val="pl-PL"/>
        </w:rPr>
        <w:t xml:space="preserve"> C 209, 23.7.2013, str. 1).</w:t>
      </w:r>
    </w:p>
  </w:footnote>
  <w:footnote w:id="9">
    <w:p w14:paraId="47F35BFE" w14:textId="77777777" w:rsidR="003D725A" w:rsidRPr="00CF3678" w:rsidRDefault="003D725A" w:rsidP="003D725A">
      <w:pPr>
        <w:pStyle w:val="FootnoteText"/>
        <w:spacing w:before="0" w:after="0"/>
        <w:ind w:left="0" w:firstLine="0"/>
        <w:contextualSpacing/>
        <w:rPr>
          <w:rFonts w:ascii="Calibri" w:hAnsi="Calibri" w:cs="Calibri"/>
          <w:lang w:val="pl-PL"/>
        </w:rPr>
      </w:pPr>
      <w:r w:rsidRPr="00CF3678">
        <w:rPr>
          <w:rStyle w:val="FootnoteReference"/>
          <w:rFonts w:ascii="Calibri" w:hAnsi="Calibri" w:cs="Calibri"/>
        </w:rPr>
        <w:footnoteRef/>
      </w:r>
      <w:r w:rsidRPr="00CF3678">
        <w:rPr>
          <w:rFonts w:ascii="Calibri" w:hAnsi="Calibri" w:cs="Calibri"/>
          <w:lang w:val="pl-PL"/>
        </w:rPr>
        <w:t xml:space="preserve"> </w:t>
      </w:r>
      <w:r w:rsidRPr="00CF3678">
        <w:rPr>
          <w:rFonts w:ascii="Calibri" w:hAnsi="Calibri" w:cs="Calibri"/>
          <w:lang w:val="pl-PL"/>
        </w:rPr>
        <w:t xml:space="preserve">Saopštenje </w:t>
      </w:r>
      <w:r w:rsidRPr="00CF3678">
        <w:rPr>
          <w:rFonts w:ascii="Calibri" w:hAnsi="Calibri" w:cs="Calibri"/>
          <w:lang w:val="pl-PL"/>
        </w:rPr>
        <w:t>Komisije o primjeni pravila o državnoj pomoći za podsticajne mjere u korist banaka u kontekstu finansijske krize počevši od 1. avgusta 2013. godine („Saopštenje o bankarstvu”) (</w:t>
      </w:r>
      <w:r>
        <w:rPr>
          <w:rFonts w:ascii="Calibri" w:hAnsi="Calibri" w:cs="Calibri"/>
          <w:lang w:val="pl-PL"/>
        </w:rPr>
        <w:t>SL</w:t>
      </w:r>
      <w:r w:rsidRPr="00CF3678">
        <w:rPr>
          <w:rFonts w:ascii="Calibri" w:hAnsi="Calibri" w:cs="Calibri"/>
          <w:lang w:val="pl-PL"/>
        </w:rPr>
        <w:t xml:space="preserve"> C 216, 30.7.2013, str. 1).</w:t>
      </w:r>
    </w:p>
  </w:footnote>
  <w:footnote w:id="10">
    <w:p w14:paraId="5E1CF2E4" w14:textId="77777777" w:rsidR="003D725A" w:rsidRPr="00AE7694" w:rsidRDefault="003D725A" w:rsidP="003D725A">
      <w:pPr>
        <w:pStyle w:val="FootnoteText"/>
        <w:spacing w:after="0"/>
        <w:ind w:left="0" w:firstLine="0"/>
        <w:contextualSpacing/>
        <w:rPr>
          <w:rFonts w:asciiTheme="minorHAnsi" w:hAnsiTheme="minorHAnsi" w:cs="Calibri"/>
          <w:lang w:val="pl-PL"/>
        </w:rPr>
      </w:pPr>
      <w:r w:rsidRPr="00AE7694">
        <w:rPr>
          <w:rStyle w:val="FootnoteReference"/>
          <w:rFonts w:asciiTheme="minorHAnsi" w:hAnsiTheme="minorHAnsi"/>
        </w:rPr>
        <w:footnoteRef/>
      </w:r>
      <w:r w:rsidRPr="00AE7694">
        <w:rPr>
          <w:rFonts w:asciiTheme="minorHAnsi" w:hAnsiTheme="minorHAnsi"/>
          <w:lang w:val="pl-PL"/>
        </w:rPr>
        <w:t xml:space="preserve"> </w:t>
      </w:r>
      <w:r w:rsidRPr="00AE7694">
        <w:rPr>
          <w:rFonts w:asciiTheme="minorHAnsi" w:hAnsiTheme="minorHAnsi" w:cs="Calibri"/>
          <w:lang w:val="pl-PL"/>
        </w:rPr>
        <w:t xml:space="preserve">Restrukturiranje </w:t>
      </w:r>
      <w:r w:rsidRPr="00AE7694">
        <w:rPr>
          <w:rFonts w:asciiTheme="minorHAnsi" w:hAnsiTheme="minorHAnsi" w:cs="Calibri"/>
          <w:lang w:val="pl-PL"/>
        </w:rPr>
        <w:t>može uključivati jedan od sljedećih elemenata ili više njih: reorganizacija i racionalizacija djelatnosti korisnika efikasnijoj osnovi, što obično uključuje povlačenje iz djelatnosti koje donose gubitke, restrukturiranje postojećih djelatnosti koje ponovno mogu biti konkurentne i, po mogućnosti, diversifikaciju u smjeru novih i održivih djelatnosti. To u pravilu uključuje i finansijsko restrukturiranje u obliku dokapitalizacije za koju sredstva osiguravaju novi ili postojeći akcionari i smanjenja duga koje osiguravaju postojeći povjerioci.</w:t>
      </w:r>
    </w:p>
  </w:footnote>
  <w:footnote w:id="11">
    <w:p w14:paraId="179F09F2" w14:textId="77777777" w:rsidR="003D725A" w:rsidRPr="00AE7694" w:rsidRDefault="003D725A" w:rsidP="003D725A">
      <w:pPr>
        <w:pStyle w:val="FootnoteText"/>
        <w:spacing w:after="0"/>
        <w:ind w:left="0" w:firstLine="0"/>
        <w:contextualSpacing/>
        <w:rPr>
          <w:rFonts w:asciiTheme="minorHAnsi" w:hAnsiTheme="minorHAnsi" w:cs="Calibri"/>
          <w:lang w:val="pl-PL"/>
        </w:rPr>
      </w:pPr>
      <w:r w:rsidRPr="00AE7694">
        <w:rPr>
          <w:rStyle w:val="FootnoteReference"/>
          <w:rFonts w:asciiTheme="minorHAnsi" w:hAnsiTheme="minorHAnsi" w:cs="Calibri"/>
        </w:rPr>
        <w:footnoteRef/>
      </w:r>
      <w:r w:rsidRPr="00AE7694">
        <w:rPr>
          <w:rFonts w:asciiTheme="minorHAnsi" w:hAnsiTheme="minorHAnsi" w:cs="Calibri"/>
          <w:lang w:val="pl-PL"/>
        </w:rPr>
        <w:t xml:space="preserve"> </w:t>
      </w:r>
      <w:r w:rsidRPr="00AE7694">
        <w:rPr>
          <w:rFonts w:asciiTheme="minorHAnsi" w:hAnsiTheme="minorHAnsi" w:cs="Calibri"/>
          <w:lang w:val="pl-PL"/>
        </w:rPr>
        <w:t xml:space="preserve">Dugoročna </w:t>
      </w:r>
      <w:r w:rsidRPr="00AE7694">
        <w:rPr>
          <w:rFonts w:asciiTheme="minorHAnsi" w:hAnsiTheme="minorHAnsi" w:cs="Calibri"/>
          <w:lang w:val="pl-PL"/>
        </w:rPr>
        <w:t>održivost ostvaruje se ako privredno društvo može da osigura odgovarajući predviđeni povrat kapitala nakon što je pokrio sve svoje troškove uključujući amortizaciju i finansijske troškove. Restrukturirano privredno društvo bi trebalo da može samostalno učestvuje u konurenciji.</w:t>
      </w:r>
    </w:p>
  </w:footnote>
  <w:footnote w:id="12">
    <w:p w14:paraId="4B4D38B8" w14:textId="77777777" w:rsidR="003D725A" w:rsidRPr="00AE7694" w:rsidRDefault="003D725A" w:rsidP="003D725A">
      <w:pPr>
        <w:pStyle w:val="FootnoteText"/>
        <w:spacing w:after="0"/>
        <w:ind w:left="0" w:firstLine="0"/>
        <w:contextualSpacing/>
        <w:rPr>
          <w:rFonts w:asciiTheme="minorHAnsi" w:hAnsiTheme="minorHAnsi" w:cs="Calibri"/>
          <w:lang w:val="pl-PL"/>
        </w:rPr>
      </w:pPr>
      <w:r w:rsidRPr="00AE7694">
        <w:rPr>
          <w:rStyle w:val="FootnoteReference"/>
          <w:rFonts w:asciiTheme="minorHAnsi" w:hAnsiTheme="minorHAnsi" w:cs="Calibri"/>
        </w:rPr>
        <w:footnoteRef/>
      </w:r>
      <w:r w:rsidRPr="00AE7694">
        <w:rPr>
          <w:rFonts w:asciiTheme="minorHAnsi" w:hAnsiTheme="minorHAnsi" w:cs="Calibri"/>
          <w:lang w:val="pl-PL"/>
        </w:rPr>
        <w:t xml:space="preserve"> </w:t>
      </w:r>
      <w:r w:rsidRPr="00AE7694">
        <w:rPr>
          <w:rFonts w:asciiTheme="minorHAnsi" w:hAnsiTheme="minorHAnsi" w:cs="Calibri"/>
          <w:lang w:val="pl-PL"/>
        </w:rPr>
        <w:t xml:space="preserve">Alternativni </w:t>
      </w:r>
      <w:r w:rsidRPr="00AE7694">
        <w:rPr>
          <w:rFonts w:asciiTheme="minorHAnsi" w:hAnsiTheme="minorHAnsi" w:cs="Calibri"/>
          <w:lang w:val="pl-PL"/>
        </w:rPr>
        <w:t>scenario ne bi trebalo da uključuje državnu pomoć. Može se odnositi na primjer na sljedeće: reorganizaciju dugova, prodaju imovine, prikupljanje privatnog kapitala, prodaju konkurentima ili razdvajanje, u svakom slučaju bilo putem stečajnog postupka ili postupka reorganizacije ili na neki drugi način.</w:t>
      </w:r>
    </w:p>
  </w:footnote>
  <w:footnote w:id="13">
    <w:p w14:paraId="6C85C056" w14:textId="77777777" w:rsidR="003D725A" w:rsidRPr="00AE7694" w:rsidRDefault="003D725A" w:rsidP="003D725A">
      <w:pPr>
        <w:pStyle w:val="FootnoteText"/>
        <w:spacing w:after="0"/>
        <w:ind w:left="0" w:firstLine="0"/>
        <w:contextualSpacing/>
        <w:rPr>
          <w:rFonts w:asciiTheme="minorHAnsi" w:hAnsiTheme="minorHAnsi" w:cs="Calibri"/>
          <w:lang w:val="pl-PL"/>
        </w:rPr>
      </w:pPr>
      <w:r w:rsidRPr="00AE7694">
        <w:rPr>
          <w:rStyle w:val="FootnoteReference"/>
          <w:rFonts w:asciiTheme="minorHAnsi" w:hAnsiTheme="minorHAnsi" w:cs="Calibri"/>
        </w:rPr>
        <w:footnoteRef/>
      </w:r>
      <w:r w:rsidRPr="00AE7694">
        <w:rPr>
          <w:rFonts w:asciiTheme="minorHAnsi" w:hAnsiTheme="minorHAnsi" w:cs="Calibri"/>
          <w:lang w:val="pl-PL"/>
        </w:rPr>
        <w:t xml:space="preserve"> </w:t>
      </w:r>
      <w:r w:rsidRPr="00AE7694">
        <w:rPr>
          <w:rFonts w:asciiTheme="minorHAnsi" w:hAnsiTheme="minorHAnsi" w:cs="Calibri"/>
          <w:lang w:val="pl-PL"/>
        </w:rPr>
        <w:t xml:space="preserve">Saopštenje Komisije o reviziji metode za utvrđivanje referentnih kamatnih i diskontnih stopa (SL C 14, 19.1.2008, str. 6) ili drugo buduće saopštenje koje bi ga moglo zamijeniti. </w:t>
      </w:r>
    </w:p>
  </w:footnote>
  <w:footnote w:id="14">
    <w:p w14:paraId="623086BF" w14:textId="77777777" w:rsidR="003D725A" w:rsidRPr="00AE7694" w:rsidRDefault="003D725A" w:rsidP="003D725A">
      <w:pPr>
        <w:pStyle w:val="FootnoteText"/>
        <w:spacing w:after="0"/>
        <w:ind w:left="0" w:firstLine="0"/>
        <w:contextualSpacing/>
        <w:rPr>
          <w:rFonts w:asciiTheme="minorHAnsi" w:hAnsiTheme="minorHAnsi" w:cs="Calibri"/>
          <w:lang w:val="pl-PL"/>
        </w:rPr>
      </w:pPr>
      <w:r w:rsidRPr="00AE7694">
        <w:rPr>
          <w:rStyle w:val="FootnoteReference"/>
          <w:rFonts w:asciiTheme="minorHAnsi" w:hAnsiTheme="minorHAnsi" w:cs="Calibri"/>
        </w:rPr>
        <w:footnoteRef/>
      </w:r>
      <w:r w:rsidRPr="00AE7694">
        <w:rPr>
          <w:rFonts w:asciiTheme="minorHAnsi" w:hAnsiTheme="minorHAnsi" w:cs="Calibri"/>
          <w:lang w:val="pl-PL"/>
        </w:rPr>
        <w:t xml:space="preserve"> </w:t>
      </w:r>
      <w:r w:rsidRPr="00AE7694">
        <w:rPr>
          <w:rFonts w:asciiTheme="minorHAnsi" w:hAnsiTheme="minorHAnsi" w:cs="Calibri"/>
          <w:lang w:val="pl-PL"/>
        </w:rPr>
        <w:t xml:space="preserve">U </w:t>
      </w:r>
      <w:r w:rsidRPr="00AE7694">
        <w:rPr>
          <w:rFonts w:asciiTheme="minorHAnsi" w:hAnsiTheme="minorHAnsi" w:cs="Calibri"/>
          <w:lang w:val="pl-PL"/>
        </w:rPr>
        <w:t>skladu sa tačkom 115 podtačka (e) Smjernica, taj plan ne mora da sadrži sve elemente utvrđene u tačkama 47 do 52, ali mora barem da sadrži mjere koje korisnik mora da preduzme kako bi ponovo uspostavio dugoročnu održivost bez državne pomoći.</w:t>
      </w:r>
    </w:p>
  </w:footnote>
  <w:footnote w:id="15">
    <w:p w14:paraId="7AAE2F9D" w14:textId="77777777" w:rsidR="003D725A" w:rsidRPr="00CF3678" w:rsidRDefault="003D725A" w:rsidP="003D725A">
      <w:pPr>
        <w:pStyle w:val="FootnoteText"/>
        <w:spacing w:before="0" w:after="0"/>
        <w:ind w:left="0" w:firstLine="0"/>
        <w:contextualSpacing/>
        <w:rPr>
          <w:rFonts w:ascii="Calibri" w:hAnsi="Calibri" w:cs="Calibri"/>
          <w:lang w:val="pl-PL"/>
        </w:rPr>
      </w:pPr>
      <w:r w:rsidRPr="00CF3678">
        <w:rPr>
          <w:rStyle w:val="FootnoteReference"/>
          <w:rFonts w:ascii="Calibri" w:hAnsi="Calibri" w:cs="Calibri"/>
        </w:rPr>
        <w:footnoteRef/>
      </w:r>
      <w:r w:rsidRPr="00CF3678">
        <w:rPr>
          <w:rFonts w:ascii="Calibri" w:hAnsi="Calibri" w:cs="Calibri"/>
          <w:lang w:val="pl-PL"/>
        </w:rPr>
        <w:t xml:space="preserve"> </w:t>
      </w:r>
      <w:r w:rsidRPr="00CF3678">
        <w:rPr>
          <w:rFonts w:ascii="Calibri" w:hAnsi="Calibri" w:cs="Calibri"/>
          <w:lang w:val="pl-PL"/>
        </w:rPr>
        <w:t xml:space="preserve">Ako, </w:t>
      </w:r>
      <w:r w:rsidRPr="00CF3678">
        <w:rPr>
          <w:rFonts w:ascii="Calibri" w:hAnsi="Calibri" w:cs="Calibri"/>
          <w:lang w:val="pl-PL"/>
        </w:rPr>
        <w:t xml:space="preserve">na primjer, pomoć koja će se dodijeliti jača vlasnički kapital korisnika, vlastiti doprinos trebalo bi na sličan način da sadrži mjere kojima se jača vlasnički kapital, kao što su prikupljanje svježeg kapitala od </w:t>
      </w:r>
      <w:r w:rsidRPr="004B5238">
        <w:rPr>
          <w:rFonts w:ascii="Calibri" w:hAnsi="Calibri" w:cs="Calibri"/>
          <w:lang w:val="pl-PL"/>
        </w:rPr>
        <w:t>postojećih akcionara, otpis</w:t>
      </w:r>
      <w:r w:rsidRPr="00CF3678">
        <w:rPr>
          <w:rFonts w:ascii="Calibri" w:hAnsi="Calibri" w:cs="Calibri"/>
          <w:lang w:val="pl-PL"/>
        </w:rPr>
        <w:t xml:space="preserve"> postojećeg duga i kapitalnih obveznica, konverzija postojećeg duga u kapital ili prikupljanje novog vanjskog kapitala po tržišnim uslovima. </w:t>
      </w:r>
    </w:p>
  </w:footnote>
  <w:footnote w:id="16">
    <w:p w14:paraId="07659F43" w14:textId="77777777" w:rsidR="003D725A" w:rsidRPr="00CF3678" w:rsidRDefault="003D725A" w:rsidP="003D725A">
      <w:pPr>
        <w:pStyle w:val="FootnoteText"/>
        <w:spacing w:before="0" w:after="0"/>
        <w:ind w:left="0" w:firstLine="0"/>
        <w:contextualSpacing/>
        <w:rPr>
          <w:rFonts w:ascii="Calibri" w:hAnsi="Calibri" w:cs="Calibri"/>
          <w:lang w:val="pl-PL"/>
        </w:rPr>
      </w:pPr>
      <w:r w:rsidRPr="00CF3678">
        <w:rPr>
          <w:rStyle w:val="FootnoteReference"/>
          <w:rFonts w:ascii="Calibri" w:hAnsi="Calibri" w:cs="Calibri"/>
        </w:rPr>
        <w:footnoteRef/>
      </w:r>
      <w:r w:rsidRPr="00CF3678">
        <w:rPr>
          <w:rFonts w:ascii="Calibri" w:hAnsi="Calibri" w:cs="Calibri"/>
          <w:lang w:val="pl-PL"/>
        </w:rPr>
        <w:t xml:space="preserve"> </w:t>
      </w:r>
      <w:r w:rsidRPr="00CF3678">
        <w:rPr>
          <w:rFonts w:ascii="Calibri" w:hAnsi="Calibri" w:cs="Calibri"/>
          <w:lang w:val="pl-PL"/>
        </w:rPr>
        <w:t xml:space="preserve">Na </w:t>
      </w:r>
      <w:r w:rsidRPr="00CF3678">
        <w:rPr>
          <w:rFonts w:ascii="Calibri" w:hAnsi="Calibri" w:cs="Calibri"/>
          <w:lang w:val="pl-PL"/>
        </w:rPr>
        <w:t>primjer ako država dodjeljuje bespovratna sredstva ili dokapitalizaciju ili otpisuje dug.</w:t>
      </w:r>
    </w:p>
  </w:footnote>
  <w:footnote w:id="17">
    <w:p w14:paraId="609B7F51" w14:textId="77777777" w:rsidR="003D725A" w:rsidRPr="00B037E7" w:rsidRDefault="003D725A" w:rsidP="003D725A">
      <w:pPr>
        <w:pStyle w:val="FootnoteText"/>
        <w:spacing w:before="0" w:after="0"/>
        <w:ind w:left="0" w:firstLine="0"/>
        <w:contextualSpacing/>
        <w:rPr>
          <w:rFonts w:ascii="Calibri" w:hAnsi="Calibri" w:cs="Calibri"/>
          <w:lang w:val="pl-PL"/>
        </w:rPr>
      </w:pPr>
      <w:r w:rsidRPr="00B037E7">
        <w:rPr>
          <w:rStyle w:val="FootnoteReference"/>
          <w:rFonts w:ascii="Calibri" w:hAnsi="Calibri" w:cs="Calibri"/>
        </w:rPr>
        <w:footnoteRef/>
      </w:r>
      <w:r w:rsidRPr="00B037E7">
        <w:rPr>
          <w:rFonts w:ascii="Calibri" w:hAnsi="Calibri" w:cs="Calibri"/>
          <w:lang w:val="pl-PL"/>
        </w:rPr>
        <w:t xml:space="preserve"> </w:t>
      </w:r>
      <w:r w:rsidRPr="00B037E7">
        <w:rPr>
          <w:rFonts w:ascii="Calibri" w:hAnsi="Calibri" w:cs="Calibri"/>
          <w:lang w:val="pl-PL"/>
        </w:rPr>
        <w:t xml:space="preserve">Napominjemo </w:t>
      </w:r>
      <w:r w:rsidRPr="00B037E7">
        <w:rPr>
          <w:rFonts w:ascii="Calibri" w:hAnsi="Calibri" w:cs="Calibri"/>
          <w:lang w:val="pl-PL"/>
        </w:rPr>
        <w:t>da, ako je prošlo manje od deset godina od dodjele pomoći za sanaciju ili privremene pomoći za restrukturiranje, završetka perioda restrukturiranja ili prekida sprovođenja plana restrukturiranja (u zavisnosti od toga koji je događaj novijeg datuma), dalje pomoći za sanaciju, pomoći za restrukturiranje ili privremene pomoći za restrukturiranje smiju se odobravati samo u sljedećim slučajevima: (a) ako se privremena pomoć za restrukturiranje dodjeljuje nakon pomoći za sanaciju kao dio jedinstvenog postupka restrukturiranja; (b) ako se pomoć za restrukturiranje dodjeljuje nakon pomoći za sanaciju ili privremene pomoći za restrukturiranje kao dio jedinstvenog postupka restrukturiranja; (c) ako su pomoći za sanaciju ili privremena pomoć za restrukturiranje dodijeljene u skladu s tim Smjernicama i ako nakon te pomoći nije dodijeljena pomoć za restrukturiranje, ako: i. u trenutku dodjele pomoći na osnovu tih Smjernica razumno se moglo smatrati da će korisnik biti održiv u dugoročnom periodu i ii. nova pomoć za sanaciju ili restrukturiranje ili privremena pomoć za restrukturiranje postaje potrebna nakon barem pet godina zbog nepredvidivih okolnosti za koje korisnik nije odgovoran; (d) u vanrednim i nepredvidivim okolnostima za koje korisnik nije odgovoran.</w:t>
      </w:r>
    </w:p>
  </w:footnote>
  <w:footnote w:id="18">
    <w:p w14:paraId="4870262F" w14:textId="77777777" w:rsidR="003D725A" w:rsidRPr="00B037E7" w:rsidRDefault="003D725A" w:rsidP="003D725A">
      <w:pPr>
        <w:pStyle w:val="FootnoteText"/>
        <w:spacing w:before="0" w:after="0"/>
        <w:ind w:left="0" w:firstLine="0"/>
        <w:contextualSpacing/>
        <w:rPr>
          <w:rFonts w:ascii="Calibri" w:hAnsi="Calibri" w:cs="Calibri"/>
          <w:lang w:val="pl-PL"/>
        </w:rPr>
      </w:pPr>
      <w:r w:rsidRPr="00B037E7">
        <w:rPr>
          <w:rStyle w:val="FootnoteReference"/>
          <w:rFonts w:ascii="Calibri" w:hAnsi="Calibri" w:cs="Calibri"/>
        </w:rPr>
        <w:footnoteRef/>
      </w:r>
      <w:r w:rsidRPr="00B037E7">
        <w:rPr>
          <w:rFonts w:ascii="Calibri" w:hAnsi="Calibri" w:cs="Calibri"/>
          <w:lang w:val="pl-PL"/>
        </w:rPr>
        <w:t xml:space="preserve"> </w:t>
      </w:r>
      <w:r w:rsidRPr="00B037E7">
        <w:rPr>
          <w:rFonts w:ascii="Calibri" w:hAnsi="Calibri" w:cs="Calibri"/>
          <w:lang w:val="pl-PL"/>
        </w:rPr>
        <w:t xml:space="preserve">Uključujući </w:t>
      </w:r>
      <w:r w:rsidRPr="00B037E7">
        <w:rPr>
          <w:rFonts w:ascii="Calibri" w:hAnsi="Calibri" w:cs="Calibri"/>
          <w:lang w:val="pl-PL"/>
        </w:rPr>
        <w:t xml:space="preserve">pomoć dodijeljenu prije datuma od kojega je Komisija počela primjenjivati Smjernice, tj. prije 1. avgusta 2014. </w:t>
      </w:r>
      <w:r>
        <w:rPr>
          <w:rFonts w:ascii="Calibri" w:hAnsi="Calibri" w:cs="Calibri"/>
          <w:lang w:val="pl-PL"/>
        </w:rPr>
        <w:t>g</w:t>
      </w:r>
      <w:r w:rsidRPr="00B037E7">
        <w:rPr>
          <w:rFonts w:ascii="Calibri" w:hAnsi="Calibri" w:cs="Calibri"/>
          <w:lang w:val="pl-PL"/>
        </w:rPr>
        <w:t>odine.</w:t>
      </w:r>
    </w:p>
  </w:footnote>
  <w:footnote w:id="19">
    <w:p w14:paraId="1175B829" w14:textId="77777777" w:rsidR="003D725A" w:rsidRPr="00B037E7" w:rsidRDefault="003D725A" w:rsidP="003D725A">
      <w:pPr>
        <w:pStyle w:val="FootnoteText"/>
        <w:spacing w:before="0" w:after="0"/>
        <w:ind w:left="0" w:firstLine="0"/>
        <w:contextualSpacing/>
        <w:rPr>
          <w:rFonts w:ascii="Calibri" w:hAnsi="Calibri" w:cs="Calibri"/>
          <w:lang w:val="pl-PL"/>
        </w:rPr>
      </w:pPr>
      <w:r w:rsidRPr="00B037E7">
        <w:rPr>
          <w:rStyle w:val="FootnoteReference"/>
          <w:rFonts w:ascii="Calibri" w:hAnsi="Calibri" w:cs="Calibri"/>
        </w:rPr>
        <w:footnoteRef/>
      </w:r>
      <w:r w:rsidRPr="00B037E7">
        <w:rPr>
          <w:rFonts w:ascii="Calibri" w:hAnsi="Calibri" w:cs="Calibri"/>
          <w:lang w:val="pl-PL"/>
        </w:rPr>
        <w:t xml:space="preserve"> </w:t>
      </w:r>
      <w:r w:rsidRPr="00B037E7">
        <w:rPr>
          <w:rFonts w:ascii="Calibri" w:hAnsi="Calibri" w:cs="Calibri"/>
          <w:lang w:val="pl-PL"/>
        </w:rPr>
        <w:t xml:space="preserve">Države članice </w:t>
      </w:r>
      <w:r>
        <w:rPr>
          <w:rFonts w:ascii="Calibri" w:hAnsi="Calibri" w:cs="Calibri"/>
          <w:lang w:val="pl-PL"/>
        </w:rPr>
        <w:t>nisu</w:t>
      </w:r>
      <w:r w:rsidRPr="00B037E7">
        <w:rPr>
          <w:rFonts w:ascii="Calibri" w:hAnsi="Calibri" w:cs="Calibri"/>
          <w:lang w:val="pl-PL"/>
        </w:rPr>
        <w:t xml:space="preserve"> obavezne da traži takve mjere od malih preduzeće, osim ako je drugačije propisano pravilima o državnoj pomoći u određenom sektoru. Međutim, mala preduzeća u u principu tokom perioda restrukturiranja ne treba da povećavaju svoje kapacitete.</w:t>
      </w:r>
    </w:p>
  </w:footnote>
  <w:footnote w:id="20">
    <w:p w14:paraId="6C26C3A0" w14:textId="77777777" w:rsidR="003D725A" w:rsidRPr="00B037E7" w:rsidRDefault="003D725A" w:rsidP="003D725A">
      <w:pPr>
        <w:pStyle w:val="FootnoteText"/>
        <w:spacing w:before="0" w:after="0"/>
        <w:ind w:left="0" w:firstLine="0"/>
        <w:contextualSpacing/>
        <w:rPr>
          <w:rFonts w:ascii="Calibri" w:hAnsi="Calibri" w:cs="Calibri"/>
          <w:lang w:val="pl-PL"/>
        </w:rPr>
      </w:pPr>
      <w:r w:rsidRPr="00B037E7">
        <w:rPr>
          <w:rStyle w:val="FootnoteReference"/>
          <w:rFonts w:ascii="Calibri" w:hAnsi="Calibri" w:cs="Calibri"/>
        </w:rPr>
        <w:footnoteRef/>
      </w:r>
      <w:r w:rsidRPr="00B037E7">
        <w:rPr>
          <w:rFonts w:ascii="Calibri" w:hAnsi="Calibri" w:cs="Calibri"/>
          <w:lang w:val="pl-PL"/>
        </w:rPr>
        <w:t xml:space="preserve"> </w:t>
      </w:r>
      <w:r w:rsidRPr="00B037E7">
        <w:rPr>
          <w:rFonts w:ascii="Calibri" w:hAnsi="Calibri" w:cs="Calibri"/>
          <w:lang w:val="pl-PL"/>
        </w:rPr>
        <w:t xml:space="preserve">Prodaja, </w:t>
      </w:r>
      <w:r w:rsidRPr="00B037E7">
        <w:rPr>
          <w:rFonts w:ascii="Calibri" w:hAnsi="Calibri" w:cs="Calibri"/>
          <w:lang w:val="pl-PL"/>
        </w:rPr>
        <w:t>otpis dugova i napuštanje djelatnosti koje uzrokuju gubitke, a koji bi u svakom slučaju bili potrebni za ponovno uspostavljanje održivosti, u principu se ne smatraju dovoljnim.</w:t>
      </w:r>
    </w:p>
  </w:footnote>
  <w:footnote w:id="21">
    <w:p w14:paraId="262BBCF3" w14:textId="77777777" w:rsidR="003D725A" w:rsidRPr="00B037E7" w:rsidRDefault="003D725A" w:rsidP="003D725A">
      <w:pPr>
        <w:pStyle w:val="FootnoteText"/>
        <w:spacing w:after="0"/>
        <w:ind w:left="0" w:firstLine="0"/>
        <w:contextualSpacing/>
        <w:rPr>
          <w:rFonts w:ascii="Calibri" w:hAnsi="Calibri" w:cs="Calibri"/>
          <w:lang w:val="pl-PL"/>
        </w:rPr>
      </w:pPr>
      <w:r w:rsidRPr="00B037E7">
        <w:rPr>
          <w:rStyle w:val="FootnoteReference"/>
          <w:rFonts w:ascii="Calibri" w:hAnsi="Calibri" w:cs="Calibri"/>
        </w:rPr>
        <w:footnoteRef/>
      </w:r>
      <w:r w:rsidRPr="00B037E7">
        <w:rPr>
          <w:rFonts w:ascii="Calibri" w:hAnsi="Calibri" w:cs="Calibri"/>
          <w:lang w:val="pl-PL"/>
        </w:rPr>
        <w:t xml:space="preserve"> </w:t>
      </w:r>
      <w:r w:rsidRPr="00B037E7">
        <w:rPr>
          <w:rFonts w:ascii="Calibri" w:hAnsi="Calibri" w:cs="Calibri"/>
          <w:lang w:val="pl-PL"/>
        </w:rPr>
        <w:t xml:space="preserve">Te </w:t>
      </w:r>
      <w:r w:rsidRPr="00B037E7">
        <w:rPr>
          <w:rFonts w:ascii="Calibri" w:hAnsi="Calibri" w:cs="Calibri"/>
          <w:lang w:val="pl-PL"/>
        </w:rPr>
        <w:t>bi mjere trebalo sprovoditi na tržištu/tržištima na kojima će korisnik imati značajan tržišni položaj nakon restrukturiranja, posebno na onima na kojima postoji znatan višak kapaciteta.</w:t>
      </w:r>
    </w:p>
  </w:footnote>
  <w:footnote w:id="22">
    <w:p w14:paraId="76FC7870" w14:textId="77777777" w:rsidR="003D725A" w:rsidRPr="00CF3678" w:rsidRDefault="003D725A" w:rsidP="003D725A">
      <w:pPr>
        <w:pStyle w:val="FootnoteText"/>
        <w:spacing w:after="0"/>
        <w:ind w:left="0" w:firstLine="0"/>
        <w:contextualSpacing/>
        <w:rPr>
          <w:rFonts w:ascii="Calibri" w:hAnsi="Calibri" w:cs="Calibri"/>
          <w:lang w:val="pl-PL"/>
        </w:rPr>
      </w:pPr>
      <w:r w:rsidRPr="00B037E7">
        <w:rPr>
          <w:rStyle w:val="FootnoteReference"/>
          <w:rFonts w:ascii="Calibri" w:hAnsi="Calibri" w:cs="Calibri"/>
        </w:rPr>
        <w:footnoteRef/>
      </w:r>
      <w:r w:rsidRPr="00B037E7">
        <w:rPr>
          <w:rFonts w:ascii="Calibri" w:hAnsi="Calibri" w:cs="Calibri"/>
          <w:lang w:val="pl-PL"/>
        </w:rPr>
        <w:t xml:space="preserve"> </w:t>
      </w:r>
      <w:r w:rsidRPr="00B037E7">
        <w:rPr>
          <w:rFonts w:ascii="Calibri" w:hAnsi="Calibri" w:cs="Calibri"/>
          <w:lang w:val="pl-PL"/>
        </w:rPr>
        <w:t>Prodaju imovine s ciljem ograničavanja narušavanja konkurencije trebalo bi sprovesti bez nepotrebnog odgađanja, uzimajući u obzir vrstu imovine koja se prodaje i prepreke za njeno uklanjanje, a u svakom slučaju tokom trajanja plana restrukturiranja</w:t>
      </w:r>
      <w:r w:rsidRPr="00CF3678">
        <w:rPr>
          <w:rFonts w:ascii="Calibri" w:hAnsi="Calibri" w:cs="Calibri"/>
          <w:lang w:val="pl-PL"/>
        </w:rPr>
        <w:t>.</w:t>
      </w:r>
    </w:p>
  </w:footnote>
  <w:footnote w:id="23">
    <w:p w14:paraId="4EA54970" w14:textId="77777777" w:rsidR="003D725A" w:rsidRPr="00B037E7" w:rsidRDefault="003D725A" w:rsidP="003D725A">
      <w:pPr>
        <w:pStyle w:val="FootnoteText"/>
        <w:spacing w:before="0" w:after="0"/>
        <w:ind w:left="0" w:firstLine="0"/>
        <w:contextualSpacing/>
        <w:rPr>
          <w:rFonts w:ascii="Calibri" w:hAnsi="Calibri" w:cs="Calibri"/>
          <w:lang w:val="pl-PL"/>
        </w:rPr>
      </w:pPr>
      <w:r w:rsidRPr="00B037E7">
        <w:rPr>
          <w:rStyle w:val="FootnoteReference"/>
          <w:rFonts w:ascii="Calibri" w:hAnsi="Calibri" w:cs="Calibri"/>
        </w:rPr>
        <w:footnoteRef/>
      </w:r>
      <w:r w:rsidRPr="00B037E7">
        <w:rPr>
          <w:rFonts w:ascii="Calibri" w:hAnsi="Calibri" w:cs="Calibri"/>
          <w:lang w:val="pl-PL"/>
        </w:rPr>
        <w:t xml:space="preserve"> </w:t>
      </w:r>
      <w:r w:rsidRPr="00B037E7">
        <w:rPr>
          <w:rFonts w:ascii="Calibri" w:hAnsi="Calibri" w:cs="Calibri"/>
          <w:lang w:val="pl-PL"/>
        </w:rPr>
        <w:t xml:space="preserve">To bi naročito moglo uključivati mjere kojima se drugim subjektima iz Unije u skladu s pravom Unije otvaraju određena tržišta koja su direktno ili indirektno povezana sa djelatnostima korisnika. Takvim inicijativama mogu se zamijeniti druge mjere kojima se ograničava narušavanje konkurencije koje bi se inače zahtijevale od korisnika.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877"/>
    <w:multiLevelType w:val="multilevel"/>
    <w:tmpl w:val="0936DE7A"/>
    <w:lvl w:ilvl="0">
      <w:start w:val="1"/>
      <w:numFmt w:val="decimal"/>
      <w:lvlText w:val="%1."/>
      <w:lvlJc w:val="left"/>
      <w:pPr>
        <w:ind w:left="360" w:hanging="360"/>
      </w:pPr>
      <w:rPr>
        <w:rFonts w:hint="default"/>
      </w:rPr>
    </w:lvl>
    <w:lvl w:ilvl="1">
      <w:start w:val="1"/>
      <w:numFmt w:val="decimal"/>
      <w:lvlText w:val="4.%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D866FC"/>
    <w:multiLevelType w:val="hybridMultilevel"/>
    <w:tmpl w:val="2C4239DA"/>
    <w:lvl w:ilvl="0" w:tplc="6A58108A">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B32F1"/>
    <w:multiLevelType w:val="multilevel"/>
    <w:tmpl w:val="1F1850F2"/>
    <w:lvl w:ilvl="0">
      <w:start w:val="1"/>
      <w:numFmt w:val="decimal"/>
      <w:lvlText w:val="%1."/>
      <w:lvlJc w:val="left"/>
      <w:pPr>
        <w:ind w:left="360" w:hanging="360"/>
      </w:pPr>
      <w:rPr>
        <w:rFonts w:hint="default"/>
      </w:rPr>
    </w:lvl>
    <w:lvl w:ilvl="1">
      <w:start w:val="1"/>
      <w:numFmt w:val="decimal"/>
      <w:lvlText w:val="9.%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313448"/>
    <w:multiLevelType w:val="hybridMultilevel"/>
    <w:tmpl w:val="F9E0A6EE"/>
    <w:lvl w:ilvl="0" w:tplc="FDFA2CF6">
      <w:start w:val="1"/>
      <w:numFmt w:val="bullet"/>
      <w:lvlText w:val=""/>
      <w:lvlJc w:val="left"/>
      <w:pPr>
        <w:ind w:left="720" w:hanging="360"/>
      </w:pPr>
      <w:rPr>
        <w:rFonts w:ascii="Symbol" w:hAnsi="Symbol" w:hint="default"/>
      </w:rPr>
    </w:lvl>
    <w:lvl w:ilvl="1" w:tplc="08090019">
      <w:start w:val="1"/>
      <w:numFmt w:val="bullet"/>
      <w:lvlText w:val=""/>
      <w:lvlJc w:val="left"/>
      <w:pPr>
        <w:ind w:left="1440" w:hanging="360"/>
      </w:pPr>
      <w:rPr>
        <w:rFonts w:ascii="Symbol" w:hAnsi="Symbo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4" w15:restartNumberingAfterBreak="0">
    <w:nsid w:val="1B5E225F"/>
    <w:multiLevelType w:val="multilevel"/>
    <w:tmpl w:val="148EE20C"/>
    <w:lvl w:ilvl="0">
      <w:start w:val="1"/>
      <w:numFmt w:val="decimal"/>
      <w:lvlText w:val="%1."/>
      <w:lvlJc w:val="left"/>
      <w:pPr>
        <w:ind w:left="360" w:hanging="360"/>
      </w:pPr>
      <w:rPr>
        <w:rFonts w:hint="default"/>
      </w:rPr>
    </w:lvl>
    <w:lvl w:ilvl="1">
      <w:start w:val="1"/>
      <w:numFmt w:val="decimal"/>
      <w:lvlText w:val="3.%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E73029"/>
    <w:multiLevelType w:val="multilevel"/>
    <w:tmpl w:val="DB70D446"/>
    <w:lvl w:ilvl="0">
      <w:start w:val="1"/>
      <w:numFmt w:val="decimal"/>
      <w:lvlText w:val="%1."/>
      <w:lvlJc w:val="left"/>
      <w:pPr>
        <w:ind w:left="360" w:hanging="360"/>
      </w:pPr>
      <w:rPr>
        <w:rFonts w:hint="default"/>
      </w:rPr>
    </w:lvl>
    <w:lvl w:ilvl="1">
      <w:start w:val="1"/>
      <w:numFmt w:val="decimal"/>
      <w:lvlText w:val="5.%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BB1F98"/>
    <w:multiLevelType w:val="hybridMultilevel"/>
    <w:tmpl w:val="34D2C4B8"/>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D23985"/>
    <w:multiLevelType w:val="hybridMultilevel"/>
    <w:tmpl w:val="776E536C"/>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3B2D64"/>
    <w:multiLevelType w:val="hybridMultilevel"/>
    <w:tmpl w:val="41548264"/>
    <w:lvl w:ilvl="0" w:tplc="FDFA2CF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E308F8"/>
    <w:multiLevelType w:val="multilevel"/>
    <w:tmpl w:val="997CD4B6"/>
    <w:lvl w:ilvl="0">
      <w:start w:val="1"/>
      <w:numFmt w:val="decimal"/>
      <w:lvlText w:val="%1."/>
      <w:lvlJc w:val="left"/>
      <w:pPr>
        <w:ind w:left="360" w:hanging="360"/>
      </w:pPr>
      <w:rPr>
        <w:rFonts w:hint="default"/>
      </w:rPr>
    </w:lvl>
    <w:lvl w:ilvl="1">
      <w:start w:val="1"/>
      <w:numFmt w:val="decimal"/>
      <w:lvlText w:val="2.%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A865DBA"/>
    <w:multiLevelType w:val="multilevel"/>
    <w:tmpl w:val="D73E225C"/>
    <w:lvl w:ilvl="0">
      <w:start w:val="1"/>
      <w:numFmt w:val="decimal"/>
      <w:lvlText w:val="%1."/>
      <w:lvlJc w:val="left"/>
      <w:pPr>
        <w:ind w:left="360" w:hanging="360"/>
      </w:pPr>
      <w:rPr>
        <w:rFonts w:hint="default"/>
      </w:rPr>
    </w:lvl>
    <w:lvl w:ilvl="1">
      <w:start w:val="1"/>
      <w:numFmt w:val="decimal"/>
      <w:lvlText w:val="6.%2."/>
      <w:lvlJc w:val="left"/>
      <w:pPr>
        <w:tabs>
          <w:tab w:val="num" w:pos="360"/>
        </w:tabs>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E13D7D"/>
    <w:multiLevelType w:val="multilevel"/>
    <w:tmpl w:val="636A306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3300E7"/>
    <w:multiLevelType w:val="hybridMultilevel"/>
    <w:tmpl w:val="A8F0A378"/>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562C99"/>
    <w:multiLevelType w:val="multilevel"/>
    <w:tmpl w:val="1F264E86"/>
    <w:lvl w:ilvl="0">
      <w:start w:val="1"/>
      <w:numFmt w:val="decimal"/>
      <w:lvlText w:val="%1."/>
      <w:lvlJc w:val="left"/>
      <w:pPr>
        <w:ind w:left="360" w:hanging="360"/>
      </w:pPr>
      <w:rPr>
        <w:rFonts w:hint="default"/>
      </w:rPr>
    </w:lvl>
    <w:lvl w:ilvl="1">
      <w:start w:val="1"/>
      <w:numFmt w:val="decimal"/>
      <w:lvlText w:val="8.%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A144BC"/>
    <w:multiLevelType w:val="multilevel"/>
    <w:tmpl w:val="85C2F7A0"/>
    <w:lvl w:ilvl="0">
      <w:start w:val="1"/>
      <w:numFmt w:val="decimal"/>
      <w:lvlText w:val="%1."/>
      <w:lvlJc w:val="left"/>
      <w:pPr>
        <w:tabs>
          <w:tab w:val="num" w:pos="360"/>
        </w:tabs>
        <w:ind w:left="360" w:hanging="360"/>
      </w:pPr>
      <w:rPr>
        <w:rFonts w:hint="default"/>
      </w:rPr>
    </w:lvl>
    <w:lvl w:ilvl="1">
      <w:start w:val="1"/>
      <w:numFmt w:val="decimal"/>
      <w:lvlText w:val="3.%2."/>
      <w:lvlJc w:val="left"/>
      <w:pPr>
        <w:ind w:left="858" w:hanging="432"/>
      </w:pPr>
      <w:rPr>
        <w:rFonts w:hint="default"/>
        <w:b w:val="0"/>
        <w:color w:val="auto"/>
      </w:rPr>
    </w:lvl>
    <w:lvl w:ilvl="2">
      <w:start w:val="1"/>
      <w:numFmt w:val="decimal"/>
      <w:lvlText w:val="3.%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A32E8D"/>
    <w:multiLevelType w:val="hybridMultilevel"/>
    <w:tmpl w:val="53FEACAC"/>
    <w:lvl w:ilvl="0" w:tplc="6A58108A">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EEE09E22"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95419C"/>
    <w:multiLevelType w:val="multilevel"/>
    <w:tmpl w:val="FF5E5E8C"/>
    <w:lvl w:ilvl="0">
      <w:start w:val="1"/>
      <w:numFmt w:val="decimal"/>
      <w:lvlText w:val="%1."/>
      <w:lvlJc w:val="left"/>
      <w:pPr>
        <w:ind w:left="360" w:hanging="360"/>
      </w:pPr>
      <w:rPr>
        <w:rFonts w:hint="default"/>
      </w:rPr>
    </w:lvl>
    <w:lvl w:ilvl="1">
      <w:start w:val="1"/>
      <w:numFmt w:val="decimal"/>
      <w:lvlText w:val="7.%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30013D4"/>
    <w:multiLevelType w:val="hybridMultilevel"/>
    <w:tmpl w:val="4DB6A60C"/>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691A55"/>
    <w:multiLevelType w:val="hybridMultilevel"/>
    <w:tmpl w:val="4C4A2A1C"/>
    <w:lvl w:ilvl="0" w:tplc="FDFA2CF6">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1"/>
  </w:num>
  <w:num w:numId="3">
    <w:abstractNumId w:val="15"/>
  </w:num>
  <w:num w:numId="4">
    <w:abstractNumId w:val="9"/>
  </w:num>
  <w:num w:numId="5">
    <w:abstractNumId w:val="18"/>
  </w:num>
  <w:num w:numId="6">
    <w:abstractNumId w:val="1"/>
  </w:num>
  <w:num w:numId="7">
    <w:abstractNumId w:val="4"/>
  </w:num>
  <w:num w:numId="8">
    <w:abstractNumId w:val="0"/>
  </w:num>
  <w:num w:numId="9">
    <w:abstractNumId w:val="6"/>
  </w:num>
  <w:num w:numId="10">
    <w:abstractNumId w:val="3"/>
  </w:num>
  <w:num w:numId="11">
    <w:abstractNumId w:val="5"/>
  </w:num>
  <w:num w:numId="12">
    <w:abstractNumId w:val="10"/>
  </w:num>
  <w:num w:numId="13">
    <w:abstractNumId w:val="16"/>
  </w:num>
  <w:num w:numId="14">
    <w:abstractNumId w:val="7"/>
  </w:num>
  <w:num w:numId="15">
    <w:abstractNumId w:val="17"/>
  </w:num>
  <w:num w:numId="16">
    <w:abstractNumId w:val="12"/>
  </w:num>
  <w:num w:numId="17">
    <w:abstractNumId w:val="8"/>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5"/>
    <w:rsid w:val="001E27D7"/>
    <w:rsid w:val="003D725A"/>
    <w:rsid w:val="00C35F47"/>
    <w:rsid w:val="00FF3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B54B0-2C49-4AA6-AAAA-73BA79EA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3D725A"/>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3D725A"/>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3D725A"/>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3D725A"/>
    <w:rPr>
      <w:vertAlign w:val="superscript"/>
    </w:rPr>
  </w:style>
  <w:style w:type="paragraph" w:customStyle="1" w:styleId="SUPERSChar">
    <w:name w:val="SUPERS Char"/>
    <w:aliases w:val="EN Footnote Reference Char"/>
    <w:basedOn w:val="Normal"/>
    <w:link w:val="FootnoteReference"/>
    <w:rsid w:val="003D725A"/>
    <w:pPr>
      <w:spacing w:before="120" w:line="240" w:lineRule="exact"/>
      <w:ind w:left="720" w:hanging="720"/>
      <w:jc w:val="both"/>
    </w:pPr>
    <w:rPr>
      <w:vertAlign w:val="superscript"/>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3D725A"/>
    <w:rPr>
      <w:rFonts w:ascii="Times New Roman" w:eastAsia="Calibri" w:hAnsi="Times New Roman" w:cs="Times New Roman"/>
      <w:sz w:val="24"/>
      <w:szCs w:val="20"/>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2694</Words>
  <Characters>15356</Characters>
  <Application>Microsoft Office Word</Application>
  <DocSecurity>0</DocSecurity>
  <Lines>127</Lines>
  <Paragraphs>36</Paragraphs>
  <ScaleCrop>false</ScaleCrop>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2026-03-26T11:54:00Z</dcterms:created>
  <dcterms:modified xsi:type="dcterms:W3CDTF">2026-03-26T11:54:00Z</dcterms:modified>
</cp:coreProperties>
</file>