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52D5B" w14:textId="77777777" w:rsidR="009C1424" w:rsidRPr="0086255B" w:rsidRDefault="009C1424" w:rsidP="009C1424">
      <w:pPr>
        <w:tabs>
          <w:tab w:val="left" w:leader="dot" w:pos="9072"/>
        </w:tabs>
        <w:spacing w:before="120" w:after="120"/>
        <w:jc w:val="both"/>
        <w:rPr>
          <w:rFonts w:cstheme="minorHAnsi"/>
          <w:b/>
          <w:noProof/>
        </w:rPr>
      </w:pPr>
      <w:r w:rsidRPr="0086255B">
        <w:rPr>
          <w:rFonts w:cstheme="minorHAnsi"/>
          <w:b/>
          <w:noProof/>
        </w:rPr>
        <w:t>Obrazac 7d – Obrazac o dodatnim podacima za državnu pomoć dodijeljenu na osnovu Smjernica o državnoj pomoći za klimu, zaštitu životne sredine i energiju za 2022.  (u daljem tekstu „CEEAG”) - Odjeljak 4.3.2. - Pomoć za uvođenje infrastrukture za punjenje ili dopunu goriva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C1424" w:rsidRPr="0086255B" w14:paraId="3F7F5D9C" w14:textId="77777777" w:rsidTr="00D507D9">
        <w:trPr>
          <w:trHeight w:val="1134"/>
        </w:trPr>
        <w:tc>
          <w:tcPr>
            <w:tcW w:w="5000" w:type="pct"/>
            <w:shd w:val="pct15" w:color="auto" w:fill="auto"/>
          </w:tcPr>
          <w:p w14:paraId="5049EFBF" w14:textId="77777777" w:rsidR="009C1424" w:rsidRPr="0086255B" w:rsidRDefault="009C1424"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III.6.D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4.3.2. - </w:t>
            </w:r>
            <w:proofErr w:type="spellStart"/>
            <w:r w:rsidRPr="0086255B">
              <w:rPr>
                <w:rFonts w:eastAsia="Times New Roman" w:cstheme="minorHAnsi"/>
                <w:b/>
                <w:bCs/>
                <w:lang w:eastAsia="hr-HR" w:bidi="hr-HR"/>
              </w:rPr>
              <w:t>Pomoc</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uvođenje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infrastrukture</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punjenje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ili</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dopunu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goriva</w:t>
            </w:r>
            <w:proofErr w:type="spellEnd"/>
          </w:p>
        </w:tc>
      </w:tr>
    </w:tbl>
    <w:p w14:paraId="143700BE" w14:textId="77777777" w:rsidR="009C1424" w:rsidRPr="0086255B" w:rsidRDefault="009C1424" w:rsidP="009C1424">
      <w:pPr>
        <w:spacing w:before="120" w:after="120"/>
        <w:ind w:right="-144"/>
        <w:jc w:val="both"/>
        <w:rPr>
          <w:rFonts w:cstheme="minorHAnsi"/>
          <w:i/>
          <w:noProof/>
        </w:rPr>
      </w:pPr>
      <w:r w:rsidRPr="0086255B">
        <w:rPr>
          <w:rFonts w:cstheme="minorHAnsi"/>
          <w:i/>
          <w:noProof/>
        </w:rPr>
        <w:t xml:space="preserve">Ovaj obrazac o dodatnim podacima odnosi se na mjere obuhvaćene odjeljkom 4.3.2. CEEAG-a. Ako prijava uključuje mjere na koje se odnosi više odjeljaka CEEAG-a, nakon što postanu dostupni, ispunite i odgovarajući obrazac o dodatnim podacima koji se odnosi na odgovarajuće odjeljke CEEAG-a. </w:t>
      </w:r>
    </w:p>
    <w:p w14:paraId="1D242F0D" w14:textId="77777777" w:rsidR="009C1424" w:rsidRPr="0086255B" w:rsidRDefault="009C1424" w:rsidP="009C1424">
      <w:pPr>
        <w:spacing w:before="120" w:after="120"/>
        <w:ind w:right="-144"/>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C1424" w:rsidRPr="0086255B" w14:paraId="44F00DA8" w14:textId="77777777" w:rsidTr="00D507D9">
        <w:tc>
          <w:tcPr>
            <w:tcW w:w="5000" w:type="pct"/>
            <w:shd w:val="pct15" w:color="auto" w:fill="auto"/>
          </w:tcPr>
          <w:p w14:paraId="102DB7C7" w14:textId="77777777" w:rsidR="009C1424" w:rsidRPr="0086255B" w:rsidRDefault="009C1424"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4848C0FE" w14:textId="77777777" w:rsidR="009C1424" w:rsidRPr="0086255B" w:rsidRDefault="009C1424" w:rsidP="009C1424">
      <w:pPr>
        <w:numPr>
          <w:ilvl w:val="0"/>
          <w:numId w:val="7"/>
        </w:numPr>
        <w:tabs>
          <w:tab w:val="clear" w:pos="850"/>
        </w:tabs>
        <w:spacing w:before="120" w:after="120"/>
        <w:ind w:left="360" w:hanging="360"/>
        <w:jc w:val="both"/>
        <w:rPr>
          <w:rFonts w:cstheme="minorHAnsi"/>
          <w:bCs/>
          <w:noProof/>
        </w:rPr>
      </w:pPr>
      <w:r w:rsidRPr="0086255B">
        <w:rPr>
          <w:rFonts w:cstheme="minorHAnsi"/>
          <w:bCs/>
          <w:noProof/>
        </w:rPr>
        <w:t>Kontekst i ciljevi prijavljenih mjera</w:t>
      </w:r>
    </w:p>
    <w:p w14:paraId="2A20BDBF"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za smanjenje emisija iz saobraćaja koje se mjerom namjerava podržati. </w:t>
      </w:r>
    </w:p>
    <w:p w14:paraId="451C0A53"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FC4E5FF"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1FB84B4B"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C2D460C"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6FE53756"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4788DD8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8A80EB6"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12494791"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04B4B49"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0393FF8C"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5FBF510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994A26E"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lokaciju (potencijalnih) korisnika (tj. da li su za učestvovanje u mjeri prihvatljivi samo privredni subjekti koji se nalaze u predmetnoj državi članici ili i oni iz drugih država članica).</w:t>
      </w:r>
    </w:p>
    <w:p w14:paraId="66283FD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lastRenderedPageBreak/>
        <w:tab/>
      </w:r>
    </w:p>
    <w:p w14:paraId="3125C178"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107BF270" w14:textId="77777777" w:rsidR="009C1424" w:rsidRPr="0086255B" w:rsidRDefault="009C1424" w:rsidP="009C1424">
      <w:pPr>
        <w:pStyle w:val="NumPar2"/>
        <w:tabs>
          <w:tab w:val="clear" w:pos="360"/>
        </w:tabs>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7E105DF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4F2D906"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037CAFD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172C43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0ADD53A9"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67DF354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90C28E1" w14:textId="77777777" w:rsidR="009C1424" w:rsidRPr="0086255B" w:rsidRDefault="009C1424" w:rsidP="009C1424">
      <w:pPr>
        <w:pStyle w:val="NumPar2"/>
        <w:numPr>
          <w:ilvl w:val="1"/>
          <w:numId w:val="4"/>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finansira iz nameta, pojasnite:</w:t>
      </w:r>
    </w:p>
    <w:p w14:paraId="62892723" w14:textId="77777777" w:rsidR="009C1424" w:rsidRPr="0086255B" w:rsidRDefault="009C1424" w:rsidP="009C1424">
      <w:pPr>
        <w:pStyle w:val="Point1letter"/>
        <w:numPr>
          <w:ilvl w:val="3"/>
          <w:numId w:val="8"/>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42AF5D0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C90C449" w14:textId="77777777" w:rsidR="009C1424" w:rsidRPr="0086255B" w:rsidRDefault="009C1424" w:rsidP="009C1424">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38C71031"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7C50250" w14:textId="77777777" w:rsidR="009C1424" w:rsidRPr="0086255B" w:rsidRDefault="009C1424" w:rsidP="009C1424">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6BF6A11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F8EA3A7" w14:textId="77777777" w:rsidR="009C1424" w:rsidRPr="0086255B" w:rsidRDefault="009C1424" w:rsidP="009C1424">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4E2935C7"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E00F3BA" w14:textId="77777777" w:rsidR="009C1424" w:rsidRPr="0086255B" w:rsidRDefault="009C1424" w:rsidP="009C1424">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2592F7A5" w14:textId="77777777" w:rsidR="009C1424" w:rsidRPr="0086255B" w:rsidRDefault="009C1424" w:rsidP="009C1424">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C1424" w:rsidRPr="0086255B" w14:paraId="52B5FF1B" w14:textId="77777777" w:rsidTr="00D507D9">
        <w:tc>
          <w:tcPr>
            <w:tcW w:w="5000" w:type="pct"/>
            <w:shd w:val="pct15" w:color="auto" w:fill="auto"/>
          </w:tcPr>
          <w:p w14:paraId="12333CF3" w14:textId="77777777" w:rsidR="009C1424" w:rsidRPr="0086255B" w:rsidRDefault="009C1424"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2B089DEE" w14:textId="77777777" w:rsidR="009C1424" w:rsidRPr="0086255B" w:rsidRDefault="009C1424" w:rsidP="009C1424">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049F7540" w14:textId="77777777" w:rsidR="009C1424" w:rsidRPr="0086255B" w:rsidRDefault="009C1424" w:rsidP="009C1424">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Doprinos razvoju ekonomske djelatnosti</w:t>
      </w:r>
    </w:p>
    <w:p w14:paraId="7461DE28"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odjeljke 3.1.1. (tačke od 23 do 25), 4.3.2.1. (tačke 190 i 191) i 4.3.2.2. (tačke od 192 i 193) CEEAG-a. </w:t>
      </w:r>
    </w:p>
    <w:p w14:paraId="6994906D"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03759505" w14:textId="77777777" w:rsidR="009C1424" w:rsidRPr="0086255B" w:rsidRDefault="009C1424" w:rsidP="009C1424">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w:t>
      </w:r>
    </w:p>
    <w:p w14:paraId="50E2981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FF26C53"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3232732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479B368"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190 i 191 CEEAG-a.</w:t>
      </w:r>
    </w:p>
    <w:p w14:paraId="5BE474B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65FA6AA"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7E89BB72" w14:textId="77777777" w:rsidR="009C1424" w:rsidRPr="0086255B" w:rsidRDefault="009C1424" w:rsidP="009C1424">
      <w:pPr>
        <w:tabs>
          <w:tab w:val="left" w:leader="dot" w:pos="9072"/>
        </w:tabs>
        <w:spacing w:before="120" w:after="120"/>
        <w:jc w:val="both"/>
        <w:rPr>
          <w:rFonts w:cstheme="minorHAnsi"/>
          <w:noProof/>
        </w:rPr>
      </w:pPr>
      <w:bookmarkStart w:id="0" w:name="_Hlk219464852"/>
      <w:r w:rsidRPr="0086255B">
        <w:rPr>
          <w:rFonts w:cstheme="minorHAnsi"/>
          <w:noProof/>
        </w:rPr>
        <w:tab/>
      </w:r>
      <w:bookmarkEnd w:id="0"/>
    </w:p>
    <w:p w14:paraId="04E8EFA4"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tačnom području primjene i djelatnostima koje se podstiču iz mjera pomoći, kako je navedeno u odjeljku 4.3.2.2. (tačke 192 i 193) CEEAG-a.</w:t>
      </w:r>
      <w:r w:rsidRPr="0086255B">
        <w:rPr>
          <w:rFonts w:asciiTheme="minorHAnsi" w:hAnsiTheme="minorHAnsi" w:cstheme="minorHAnsi"/>
          <w:noProof/>
          <w:sz w:val="22"/>
        </w:rPr>
        <w:tab/>
      </w:r>
    </w:p>
    <w:p w14:paraId="773E175A"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412E16A" w14:textId="77777777" w:rsidR="009C1424" w:rsidRPr="0086255B" w:rsidRDefault="009C1424" w:rsidP="009C1424">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035E73F5" w14:textId="77777777" w:rsidR="009C1424" w:rsidRPr="0086255B" w:rsidRDefault="009C1424" w:rsidP="009C1424">
      <w:pPr>
        <w:spacing w:before="120" w:after="120"/>
        <w:jc w:val="both"/>
        <w:rPr>
          <w:rFonts w:cstheme="minorHAnsi"/>
          <w:i/>
          <w:noProof/>
        </w:rPr>
      </w:pPr>
      <w:r w:rsidRPr="0086255B">
        <w:rPr>
          <w:rFonts w:cstheme="minorHAnsi"/>
          <w:i/>
          <w:noProof/>
        </w:rPr>
        <w:t>Za unos podataka u ovom odjeljku vidjeti odjeljak 3.1.2. (tačke od 26 do 32) CEEAG-a.</w:t>
      </w:r>
    </w:p>
    <w:p w14:paraId="5993265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7D31C09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8B793BC"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28 CEEAG-:</w:t>
      </w:r>
    </w:p>
    <w:p w14:paraId="35AB9CCB" w14:textId="77777777" w:rsidR="009C1424" w:rsidRPr="0086255B" w:rsidRDefault="009C1424" w:rsidP="009C1424">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dostavite sveobuhvatan opis činjeničnog scenarija za koji se očekuje da će nastati kao rezultat mjere pomoći i vjerovatne uporedne scenarije koji će se dogoditi u odsustvu mjere pomoći</w:t>
      </w:r>
      <w:r w:rsidRPr="0086255B">
        <w:rPr>
          <w:rStyle w:val="FootnoteReference"/>
          <w:rFonts w:asciiTheme="minorHAnsi" w:hAnsiTheme="minorHAnsi" w:cstheme="minorHAnsi"/>
          <w:noProof/>
          <w:sz w:val="22"/>
        </w:rPr>
        <w:footnoteReference w:id="3"/>
      </w:r>
      <w:r w:rsidRPr="0086255B">
        <w:rPr>
          <w:rFonts w:asciiTheme="minorHAnsi" w:hAnsiTheme="minorHAnsi" w:cstheme="minorHAnsi"/>
          <w:noProof/>
          <w:sz w:val="22"/>
        </w:rPr>
        <w:t>. Ako očekujete da će pomoć dobiti različite kategorije korisnika, obezbijedite da je uporedni scenario vjerodostojan za svaku od tih kategorija.</w:t>
      </w:r>
      <w:r w:rsidRPr="0086255B">
        <w:rPr>
          <w:rFonts w:asciiTheme="minorHAnsi" w:hAnsiTheme="minorHAnsi" w:cstheme="minorHAnsi"/>
          <w:noProof/>
          <w:sz w:val="22"/>
        </w:rPr>
        <w:tab/>
      </w:r>
    </w:p>
    <w:p w14:paraId="13AAD737"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C0F06B0" w14:textId="77777777" w:rsidR="009C1424" w:rsidRPr="0086255B" w:rsidRDefault="009C1424" w:rsidP="009C1424">
      <w:pPr>
        <w:pStyle w:val="Point0letter"/>
        <w:numPr>
          <w:ilvl w:val="1"/>
          <w:numId w:val="10"/>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ukratko, ukoliko je primjenjivo, objasnite razloge za izbor vjerovatnog uporednog scenarija s obzirom na predložene različite kategorije korisnika.</w:t>
      </w:r>
    </w:p>
    <w:p w14:paraId="07806023"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2F4DC27" w14:textId="77777777" w:rsidR="009C1424" w:rsidRPr="0086255B" w:rsidRDefault="009C1424" w:rsidP="009C1424">
      <w:pPr>
        <w:pStyle w:val="Point0letter"/>
        <w:numPr>
          <w:ilvl w:val="1"/>
          <w:numId w:val="5"/>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kvantifikujte troškove i prihode činjeničnog i uporednog scenarija  kako slijedi:</w:t>
      </w:r>
    </w:p>
    <w:p w14:paraId="66AEC245" w14:textId="77777777" w:rsidR="009C1424" w:rsidRPr="0086255B" w:rsidRDefault="009C1424" w:rsidP="009C1424">
      <w:pPr>
        <w:pStyle w:val="Point0letter"/>
        <w:numPr>
          <w:ilvl w:val="0"/>
          <w:numId w:val="11"/>
        </w:numPr>
        <w:ind w:left="1080"/>
        <w:rPr>
          <w:rFonts w:asciiTheme="minorHAnsi" w:hAnsiTheme="minorHAnsi" w:cstheme="minorHAnsi"/>
          <w:noProof/>
          <w:sz w:val="22"/>
        </w:rPr>
      </w:pPr>
      <w:r w:rsidRPr="0086255B">
        <w:rPr>
          <w:rFonts w:asciiTheme="minorHAnsi" w:hAnsiTheme="minorHAnsi" w:cstheme="minorHAnsi"/>
          <w:noProof/>
          <w:sz w:val="22"/>
        </w:rPr>
        <w:t xml:space="preserve">ako se pomoć dodjeljuje </w:t>
      </w:r>
      <w:r w:rsidRPr="0086255B">
        <w:rPr>
          <w:rFonts w:asciiTheme="minorHAnsi" w:hAnsiTheme="minorHAnsi" w:cstheme="minorHAnsi"/>
          <w:noProof/>
          <w:sz w:val="22"/>
          <w:u w:val="single"/>
        </w:rPr>
        <w:t>bez konkurentnog tenderskog postupka</w:t>
      </w:r>
      <w:r w:rsidRPr="0086255B">
        <w:rPr>
          <w:rFonts w:asciiTheme="minorHAnsi" w:hAnsiTheme="minorHAnsi" w:cstheme="minorHAnsi"/>
          <w:noProof/>
          <w:sz w:val="22"/>
        </w:rPr>
        <w:t>, gdje je to primjenjivo obrazložite promjenu ponašanja za svaku kategoriju korisnika na osnovu odgovarajućeg referentnog projekta</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 odgovarajućih uporednih scenarija i nastalog finansijskog jaza;</w:t>
      </w:r>
    </w:p>
    <w:p w14:paraId="595FC5C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A344986" w14:textId="77777777" w:rsidR="009C1424" w:rsidRPr="0086255B" w:rsidRDefault="009C1424" w:rsidP="009C1424">
      <w:pPr>
        <w:pStyle w:val="Point0letter"/>
        <w:numPr>
          <w:ilvl w:val="0"/>
          <w:numId w:val="12"/>
        </w:numPr>
        <w:ind w:hanging="360"/>
        <w:rPr>
          <w:rFonts w:asciiTheme="minorHAnsi" w:hAnsiTheme="minorHAnsi" w:cstheme="minorHAnsi"/>
          <w:noProof/>
          <w:sz w:val="22"/>
        </w:rPr>
      </w:pPr>
      <w:r w:rsidRPr="0086255B">
        <w:rPr>
          <w:rFonts w:asciiTheme="minorHAnsi" w:hAnsiTheme="minorHAnsi" w:cstheme="minorHAnsi"/>
          <w:noProof/>
          <w:sz w:val="22"/>
        </w:rPr>
        <w:tab/>
        <w:t xml:space="preserve">ako se pomoć dodjeljuje na </w:t>
      </w:r>
      <w:r w:rsidRPr="0086255B">
        <w:rPr>
          <w:rFonts w:asciiTheme="minorHAnsi" w:hAnsiTheme="minorHAnsi" w:cstheme="minorHAnsi"/>
          <w:noProof/>
          <w:sz w:val="22"/>
          <w:u w:val="single"/>
        </w:rPr>
        <w:t>osnovu konkurentnog tenderskog postupka</w:t>
      </w:r>
      <w:r w:rsidRPr="0086255B">
        <w:rPr>
          <w:rFonts w:asciiTheme="minorHAnsi" w:hAnsiTheme="minorHAnsi" w:cstheme="minorHAnsi"/>
          <w:noProof/>
          <w:sz w:val="22"/>
        </w:rPr>
        <w:t>, obrazložite promjenu ponašanja (gdje je to primjenjivo za svaku kategoriju korisnika/referentnog projekta) koristeći se istim dokazima koji se zahtijevaju u tački (a) ili dostavite odgovarajuće kvantitativne dokaze zasnovane na istraživanjima tržišta, planovima investitora, finansijskim izvještajima ili drugim kvantitativnim dokazima, uključujući ponude sličnih projekata u nedavnim uporedivim konkurentnim tenderskim postupcima.</w:t>
      </w:r>
      <w:r w:rsidRPr="0086255B">
        <w:rPr>
          <w:rStyle w:val="FootnoteReference"/>
          <w:rFonts w:asciiTheme="minorHAnsi" w:hAnsiTheme="minorHAnsi" w:cstheme="minorHAnsi"/>
          <w:noProof/>
          <w:sz w:val="22"/>
        </w:rPr>
        <w:footnoteReference w:id="5"/>
      </w:r>
      <w:r w:rsidRPr="0086255B">
        <w:rPr>
          <w:rFonts w:asciiTheme="minorHAnsi" w:hAnsiTheme="minorHAnsi" w:cstheme="minorHAnsi"/>
          <w:noProof/>
          <w:sz w:val="22"/>
        </w:rPr>
        <w:t xml:space="preserve"> </w:t>
      </w:r>
    </w:p>
    <w:p w14:paraId="52F583C7"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FCD4AED"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27 CEEAG-a, dostavite podatke kojima se potvrđuje da pomoć ne pokriva troškove djelatnosti koje bi korisnik pomoći svakako obavljao i da ne nadoknađuje uobičajeni poslovni rizik ekonomske djelatnosti.</w:t>
      </w:r>
    </w:p>
    <w:p w14:paraId="71C03392"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5876132"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w:t>
      </w:r>
      <w:r w:rsidRPr="0086255B">
        <w:rPr>
          <w:rFonts w:asciiTheme="minorHAnsi" w:hAnsiTheme="minorHAnsi" w:cstheme="minorHAnsi"/>
          <w:noProof/>
          <w:sz w:val="22"/>
          <w:shd w:val="clear" w:color="auto" w:fill="FFFFFF"/>
        </w:rPr>
        <w:t>dokazala</w:t>
      </w:r>
      <w:r w:rsidRPr="0086255B">
        <w:rPr>
          <w:rFonts w:asciiTheme="minorHAnsi" w:hAnsiTheme="minorHAnsi" w:cstheme="minorHAnsi"/>
          <w:noProof/>
          <w:sz w:val="22"/>
        </w:rPr>
        <w:t xml:space="preserve"> usklađenost sa tačkama 29 i 31 CEEAG-a:</w:t>
      </w:r>
    </w:p>
    <w:p w14:paraId="65A8B06D"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radovi na projektu ili djelatnosti nisu započeli prije nego što je korisnik nacionalnim organima podnio pisani zahtjev za pomoć;</w:t>
      </w:r>
    </w:p>
    <w:p w14:paraId="138529C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6A08B82" w14:textId="77777777" w:rsidR="009C1424" w:rsidRPr="0086255B" w:rsidRDefault="009C1424" w:rsidP="009C1424">
      <w:pPr>
        <w:pStyle w:val="Text2"/>
        <w:spacing w:after="120"/>
        <w:ind w:left="108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081500BA"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 xml:space="preserve">za projekte koji su započeli prije podnošenja zahtjeva za pomoć, dokažite da je projekt obuhvaćen jednim od izuzetnih slučajeva iz tačke 31 CEEAG-a (podtačke (a), (b) ili (c)). </w:t>
      </w:r>
    </w:p>
    <w:p w14:paraId="28C994D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86001ED"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7636CAAB"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F09FFB4"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32 CEEAG-a navedite postoje li norme Evropske unije</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 U tom kontekstu, navedite informacije kojima se dokazuje podsticajni efekat.</w:t>
      </w:r>
    </w:p>
    <w:p w14:paraId="2DA3605A"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FB42CDE"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w:t>
      </w:r>
    </w:p>
    <w:p w14:paraId="6E2A281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252279E" w14:textId="77777777" w:rsidR="009C1424" w:rsidRPr="0086255B" w:rsidRDefault="009C1424" w:rsidP="009C1424">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04C6CA12" w14:textId="77777777" w:rsidR="009C1424" w:rsidRPr="0086255B" w:rsidRDefault="009C1424" w:rsidP="009C1424">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5942B6B5"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6F6810F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660FF46"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522DE4F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5B69F77" w14:textId="77777777" w:rsidR="009C1424" w:rsidRPr="0086255B" w:rsidRDefault="009C1424" w:rsidP="009C1424">
      <w:pPr>
        <w:pStyle w:val="Heading1"/>
        <w:keepNext/>
        <w:numPr>
          <w:ilvl w:val="0"/>
          <w:numId w:val="3"/>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Negativni uslov: pomoć ne smije neopravdano uticati na uslove konkurencije i trgovine u mjeri u kojoj bi to bilo suprotno zajedničkom interesu</w:t>
      </w:r>
    </w:p>
    <w:p w14:paraId="0A10851B" w14:textId="77777777" w:rsidR="009C1424" w:rsidRPr="0086255B" w:rsidRDefault="009C1424" w:rsidP="009C1424">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36CF0D5D" w14:textId="77777777" w:rsidR="009C1424" w:rsidRPr="0086255B" w:rsidRDefault="009C1424" w:rsidP="009C1424">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Neophodnost pomoći</w:t>
      </w:r>
    </w:p>
    <w:p w14:paraId="4040773C"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odjeljak 4.3.2.3.1. (tačke 194 i 195) CEEAG-a. </w:t>
      </w:r>
    </w:p>
    <w:p w14:paraId="042B1975"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da li je i na koji je način provjereno da je državna pomoć potrebna za podsticanje uvođenja infrastrukture za punjenje ili dopunu gorivom iste kategorije kao infrastruktura koja bi se uvela uz državnu pomoć, imajući u vidu da se slična infrastruktura u kratkom roku vjerovatno ne bi razvila pod komercijalnim uslovima. To se može dokazati upućivanjem na prethodnu (ex ante) otvorenu javnu konsultaciju, nezavisnu studiju tržišta ili na osnovu bilo kojeg drugog odgovarajućeg dokaza kako je utvrđeno u odjeljku 3.2.1.1. CEEAG-a. Ako je primjenjivo, navedite informacije o uticaju ETS-a. Dostavite popratnu dokumentaciju.</w:t>
      </w:r>
    </w:p>
    <w:p w14:paraId="047C5D1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20D29E8"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će infrastruktura za punjenje ili dopunu gorivom za koju je dodijeljena pomoć biti otvorena za pristup drugim korisnicima koji nisu korisnici državne pomoći, navedite (i) nivo penetracije odnosno udio čistih vozila kojima bi ta infrastruktura služila u odnosu na ukupan broj registrovanih vozila u vašoj državi članici; i/ili (ii) obim saobraćaja u regionu ili regionima na koje se mjera odnosi. </w:t>
      </w:r>
    </w:p>
    <w:p w14:paraId="3E0D733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50AA95A" w14:textId="77777777" w:rsidR="009C1424" w:rsidRPr="0086255B" w:rsidRDefault="009C1424" w:rsidP="009C1424">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w:t>
      </w:r>
    </w:p>
    <w:p w14:paraId="250FB265"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odjeljke 3.2.1.2 (tačke od 39 do 46) i 4.3.2.3.2. (tačke 196 i 197) CEEAG-a.. </w:t>
      </w:r>
    </w:p>
    <w:p w14:paraId="663B9838"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174B79C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58BB48A"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42 CEEAG-a, potvrdite da se nijedan korisnik mjera pomoći ne može smatrati odgovornim za zagađenje u skladu sa važećim pravom Unije ili nacionalnim pravom (</w:t>
      </w:r>
      <w:r w:rsidRPr="0086255B">
        <w:rPr>
          <w:rFonts w:cstheme="minorHAnsi"/>
          <w:i/>
          <w:noProof/>
        </w:rPr>
        <w:t>načelo „zagađivač plaća”</w:t>
      </w:r>
      <w:r w:rsidRPr="0086255B">
        <w:rPr>
          <w:rFonts w:cstheme="minorHAnsi"/>
          <w:noProof/>
        </w:rPr>
        <w:t>).</w:t>
      </w:r>
    </w:p>
    <w:p w14:paraId="1B99E58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A074C3F"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 xml:space="preserve">Kako bi se dokazala usklađenost sa tačkama od 43 do 46 CEEAG-a i dokazala primjerenost pomoći u odnosu na druge instrumente državne pomoći, navedite sljedeće podatke: </w:t>
      </w:r>
    </w:p>
    <w:p w14:paraId="050515C9" w14:textId="77777777" w:rsidR="009C1424" w:rsidRPr="0086255B" w:rsidRDefault="009C1424" w:rsidP="009C1424">
      <w:pPr>
        <w:pStyle w:val="Point1letter"/>
        <w:numPr>
          <w:ilvl w:val="3"/>
          <w:numId w:val="1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zašto su drugi oblici pomoći koji potencijalno manje narušavaju konkurenciju manje primjereni, kako je propisano tačkom 44 CEEAG-a. Oblici pomoći koji potencijalno manje narušavaju konkurenciju mogu biti povratni avansi u poređenju sa direktnim bespovratnim sredstvima, poreske olakšice u poređenju sa smanjenjem poreza ili oblici pomoći koji se zasnivaju na finansijskim instrumentima kao što su dužnički instrumenti u poređenju sa vlasničkim instrumentima, uključujući, na primjer, zajmove sa niskim kamatama ili popuste na kamate, državne garancije ili alternativno obezbjeđivanje finansiranja po povoljnim uslovima;</w:t>
      </w:r>
    </w:p>
    <w:p w14:paraId="2F216E1A"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089AA1F"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lastRenderedPageBreak/>
        <w:t>dokažite da je odabrani instrument pomoći primjeren tržišnom nedostatku koji se namjerava otkloniti mjerom pomoći, kako se zahtijeva u tački 45 CEEAG-a;</w:t>
      </w:r>
    </w:p>
    <w:p w14:paraId="2C503676"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C46267C"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kako je propisano</w:t>
      </w:r>
      <w:r w:rsidRPr="0086255B">
        <w:rPr>
          <w:rFonts w:cstheme="minorHAnsi"/>
          <w:noProof/>
        </w:rPr>
        <w:t xml:space="preserve"> tačkom 46 CEEAG-a.</w:t>
      </w:r>
    </w:p>
    <w:p w14:paraId="4A3F1FD0"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2B45450"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b/>
        <w:t>Kako bi se dokazala usklađenost sa tačkom 197 CEEAG-a, objasnite da li regulatorne (uključujući i nove) intervencije nisu mogle da podstaknu prelazak na čistu mobilnost i opišite njihov očekivani efekat u poređenju sa efektom predložene mjere.</w:t>
      </w:r>
    </w:p>
    <w:p w14:paraId="0B13748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46A3570" w14:textId="77777777" w:rsidR="009C1424" w:rsidRPr="0086255B" w:rsidRDefault="009C1424" w:rsidP="009C1424">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w:t>
      </w:r>
    </w:p>
    <w:p w14:paraId="7990CDB8"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odjeljak 4.3.2.3.3. (tačke od 198 do 204) CEEAG-a. Napominjemo da su </w:t>
      </w:r>
      <w:r w:rsidRPr="0086255B">
        <w:rPr>
          <w:rFonts w:cstheme="minorHAnsi"/>
          <w:i/>
          <w:noProof/>
          <w:u w:val="single"/>
        </w:rPr>
        <w:t>odjeljci 2.1.3.1. i 2.1.3.2. alternativne opcije.</w:t>
      </w:r>
      <w:r w:rsidRPr="0086255B">
        <w:rPr>
          <w:rFonts w:cstheme="minorHAnsi"/>
          <w:i/>
          <w:noProof/>
        </w:rPr>
        <w:t xml:space="preserve"> Odgovorite samo na odgovarajući odjeljak, u zavisnosti od strukture predložene mjere.</w:t>
      </w:r>
    </w:p>
    <w:p w14:paraId="43310959" w14:textId="77777777" w:rsidR="009C1424" w:rsidRPr="0086255B" w:rsidRDefault="009C1424" w:rsidP="009C1424">
      <w:pPr>
        <w:pStyle w:val="Heading4"/>
        <w:keepLines w:val="0"/>
        <w:numPr>
          <w:ilvl w:val="3"/>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Proporcionalnost pomoći koja se dodjeljuje u okviru konkurentnog tenderskog postupka </w:t>
      </w:r>
    </w:p>
    <w:p w14:paraId="4B407EC3" w14:textId="77777777" w:rsidR="009C1424" w:rsidRPr="0086255B" w:rsidRDefault="009C1424" w:rsidP="009C1424">
      <w:pPr>
        <w:spacing w:before="120" w:after="120"/>
        <w:jc w:val="both"/>
        <w:rPr>
          <w:rFonts w:cstheme="minorHAnsi"/>
          <w:i/>
          <w:noProof/>
        </w:rPr>
      </w:pPr>
      <w:r w:rsidRPr="0086255B">
        <w:rPr>
          <w:rFonts w:cstheme="minorHAnsi"/>
          <w:i/>
          <w:noProof/>
        </w:rPr>
        <w:t>Za unos podataka u ovom odjeljku vidjeti tačke 49, 50, i 199 CEEAG-a.</w:t>
      </w:r>
    </w:p>
    <w:p w14:paraId="044BDA1B"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tačkama 49, 50 i 199 CEEAG-a:</w:t>
      </w:r>
    </w:p>
    <w:p w14:paraId="6CFAFA6C" w14:textId="77777777" w:rsidR="009C1424" w:rsidRPr="0086255B" w:rsidRDefault="009C1424" w:rsidP="009C1424">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kako nadležni organi obezbjeđuju da je tenderski postupak otvoren, jasan, transparentan i nediskriminatoran i da se zasniva na objektivnim kriterijumima definisanima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u skladu sa ciljem mjere i svođenjem rizika strateškog licitiranja na najmanju moguću mjeru (tačka 49 podtačka (a) CEEAG-a). </w:t>
      </w:r>
    </w:p>
    <w:p w14:paraId="7365FF6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B045ADA"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kriterijume za izbor koji se upotrebljavaju za rangiranje ponuda i na kraju utvrđivanje iznosa pomoći u konkurentnom tenderskom postupku</w:t>
      </w:r>
      <w:r w:rsidRPr="0086255B">
        <w:rPr>
          <w:rFonts w:asciiTheme="minorHAnsi" w:hAnsiTheme="minorHAnsi" w:cstheme="minorHAnsi"/>
          <w:noProof/>
          <w:sz w:val="22"/>
          <w:shd w:val="clear" w:color="auto" w:fill="FFFFFF"/>
        </w:rPr>
        <w:t xml:space="preserve">. </w:t>
      </w:r>
      <w:r w:rsidRPr="0086255B">
        <w:rPr>
          <w:rFonts w:asciiTheme="minorHAnsi" w:hAnsiTheme="minorHAnsi" w:cstheme="minorHAnsi"/>
          <w:noProof/>
          <w:sz w:val="22"/>
        </w:rPr>
        <w:t xml:space="preserve">Konkretnije: </w:t>
      </w:r>
    </w:p>
    <w:p w14:paraId="611E32D6" w14:textId="77777777" w:rsidR="009C1424" w:rsidRPr="0086255B" w:rsidRDefault="009C1424" w:rsidP="009C1424">
      <w:pPr>
        <w:pStyle w:val="Point0letter"/>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navedite popis kriterijuma za izbor i naznačite koji od njih su direktno ili indirektno povezani sa glavnim ciljevima mjera. Navedite njihove pondere;</w:t>
      </w:r>
    </w:p>
    <w:p w14:paraId="5E912D2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27F3E11" w14:textId="77777777" w:rsidR="009C1424" w:rsidRPr="0086255B" w:rsidRDefault="009C1424" w:rsidP="009C1424">
      <w:pPr>
        <w:pStyle w:val="Stylei"/>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objasnite kako je prema kriterijumima za izbor doprinos glavnim ciljevima mjere direktno ili indirektno povezan sa iznosom pomoći koji je zatražio podnosilac zahtjeva. To se može izraziti, na primjer, u obliku pomoći po jedinici zaštite životne sredine ili pomoć po mjestu za punjenje ili dopunu gorivom (tačka 50 i fusnota 44 CEEAG-a);</w:t>
      </w:r>
    </w:p>
    <w:p w14:paraId="667CCB6B"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C94BF62" w14:textId="77777777" w:rsidR="009C1424" w:rsidRPr="0086255B" w:rsidRDefault="009C1424" w:rsidP="009C1424">
      <w:pPr>
        <w:pStyle w:val="Stylei"/>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t>ako postoje drugi kriterijumi za izbor koji nisu direktno ili indirektno povezani sa glavnim ciljevima mjera, navedite obrazloženje za predloženi pristup i objasnite kako je on primjerenim tim ciljevima. Potvrdite i da ovi kriterijumi ne predstavljaju više od 30 % pondera svih kriterijuma za izbor (tačke 50 i 199 CEEAG-a);</w:t>
      </w:r>
    </w:p>
    <w:p w14:paraId="517EF894"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F1327C6" w14:textId="77777777" w:rsidR="009C1424" w:rsidRPr="0086255B" w:rsidRDefault="009C1424" w:rsidP="009C1424">
      <w:pPr>
        <w:pStyle w:val="Stylei"/>
        <w:numPr>
          <w:ilvl w:val="0"/>
          <w:numId w:val="17"/>
        </w:numPr>
        <w:ind w:hanging="360"/>
        <w:rPr>
          <w:rFonts w:asciiTheme="minorHAnsi" w:hAnsiTheme="minorHAnsi" w:cstheme="minorHAnsi"/>
          <w:noProof/>
          <w:sz w:val="22"/>
        </w:rPr>
      </w:pPr>
      <w:r w:rsidRPr="0086255B">
        <w:rPr>
          <w:rFonts w:asciiTheme="minorHAnsi" w:hAnsiTheme="minorHAnsi" w:cstheme="minorHAnsi"/>
          <w:noProof/>
          <w:sz w:val="22"/>
        </w:rPr>
        <w:lastRenderedPageBreak/>
        <w:t>objasnite koliko će se vremena prije roka za podnošenje zahtjeva u svakom konkurentnom tenderskom postupku</w:t>
      </w:r>
      <w:r w:rsidRPr="0086255B">
        <w:rPr>
          <w:rFonts w:asciiTheme="minorHAnsi" w:hAnsiTheme="minorHAnsi" w:cstheme="minorHAnsi"/>
          <w:noProof/>
          <w:sz w:val="22"/>
          <w:shd w:val="clear" w:color="auto" w:fill="FFFFFF"/>
        </w:rPr>
        <w:t xml:space="preserve"> objaviti kriterijumi za izbor</w:t>
      </w:r>
      <w:r w:rsidRPr="0086255B">
        <w:rPr>
          <w:rFonts w:asciiTheme="minorHAnsi" w:hAnsiTheme="minorHAnsi" w:cstheme="minorHAnsi"/>
          <w:noProof/>
          <w:sz w:val="22"/>
        </w:rPr>
        <w:t xml:space="preserve"> (tačka 49 podtačka (b) i fusnota 43 CEEAG-a);</w:t>
      </w:r>
    </w:p>
    <w:p w14:paraId="6CE9A0E2"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9CDE2A7" w14:textId="77777777" w:rsidR="009C1424" w:rsidRPr="0086255B" w:rsidRDefault="009C1424" w:rsidP="009C1424">
      <w:pPr>
        <w:pStyle w:val="Stylei"/>
        <w:numPr>
          <w:ilvl w:val="0"/>
          <w:numId w:val="18"/>
        </w:numPr>
        <w:ind w:left="720"/>
        <w:rPr>
          <w:rFonts w:asciiTheme="minorHAnsi" w:hAnsiTheme="minorHAnsi" w:cstheme="minorHAnsi"/>
          <w:noProof/>
          <w:sz w:val="22"/>
        </w:rPr>
      </w:pPr>
      <w:r w:rsidRPr="0086255B">
        <w:rPr>
          <w:rFonts w:asciiTheme="minorHAnsi" w:hAnsiTheme="minorHAnsi" w:cstheme="minorHAnsi"/>
          <w:noProof/>
          <w:sz w:val="22"/>
          <w:shd w:val="clear" w:color="auto" w:fill="FFFFFF"/>
        </w:rPr>
        <w:tab/>
        <w:t>objasnite elemente na kojima zasnivate pretpostavku da će tenderski postupak biti otvoren i da će biti podneseno dovoljno ponuda, odnosno da se može očekivati da neće svi ponuđači dobiti pomoć i da je očekivani broj ponuđača dovoljan da obezbijedi stvarnu i efikasnu konkurenciju tokom cijelog trajanja šeme (tačka 49 podtačka (c) CEEAG-a). U objašnjenju uzmite u obzir budžet ili obim šeme. Gdje je to primjenjivo, pozovite se na dokaze dostavljene kao odgovore na pitanje 12  tačka (c) podtačka (ii) iznad;</w:t>
      </w:r>
    </w:p>
    <w:p w14:paraId="4A7D17E1"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C09EC34" w14:textId="77777777" w:rsidR="009C1424" w:rsidRPr="0086255B" w:rsidRDefault="009C1424" w:rsidP="009C1424">
      <w:pPr>
        <w:pStyle w:val="Point1letter"/>
        <w:numPr>
          <w:ilvl w:val="0"/>
          <w:numId w:val="18"/>
        </w:numPr>
        <w:ind w:left="72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 xml:space="preserve">navedite koji je predviđeni broj krugova tendera i očekivani broj ponuđača u prvom krugu i nakon toga; </w:t>
      </w:r>
    </w:p>
    <w:p w14:paraId="63B75C1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C547FA1" w14:textId="77777777" w:rsidR="009C1424" w:rsidRPr="0086255B" w:rsidRDefault="009C1424" w:rsidP="009C1424">
      <w:pPr>
        <w:pStyle w:val="Point1letter"/>
        <w:numPr>
          <w:ilvl w:val="0"/>
          <w:numId w:val="18"/>
        </w:numPr>
        <w:ind w:left="720"/>
        <w:rPr>
          <w:rFonts w:asciiTheme="minorHAnsi" w:hAnsiTheme="minorHAnsi" w:cstheme="minorHAnsi"/>
          <w:noProof/>
          <w:sz w:val="22"/>
        </w:rPr>
      </w:pPr>
      <w:r w:rsidRPr="0086255B">
        <w:rPr>
          <w:rFonts w:asciiTheme="minorHAnsi" w:hAnsiTheme="minorHAnsi" w:cstheme="minorHAnsi"/>
          <w:noProof/>
          <w:sz w:val="22"/>
        </w:rPr>
        <w:t>u slučaju jednog ili više tenderskih postupaka sa nedovoljnim učešćem,</w:t>
      </w:r>
      <w:r w:rsidRPr="0086255B">
        <w:rPr>
          <w:rFonts w:asciiTheme="minorHAnsi" w:hAnsiTheme="minorHAnsi" w:cstheme="minorHAnsi"/>
          <w:noProof/>
          <w:sz w:val="22"/>
          <w:shd w:val="clear" w:color="auto" w:fill="FFFFFF"/>
        </w:rPr>
        <w:t xml:space="preserve"> objasnite kako će se </w:t>
      </w:r>
      <w:r w:rsidRPr="0086255B">
        <w:rPr>
          <w:rFonts w:asciiTheme="minorHAnsi" w:hAnsiTheme="minorHAnsi" w:cstheme="minorHAnsi"/>
          <w:noProof/>
          <w:sz w:val="22"/>
        </w:rPr>
        <w:t>struktura tenderskog postupka prilagoditi</w:t>
      </w:r>
      <w:r w:rsidRPr="0086255B">
        <w:rPr>
          <w:rFonts w:asciiTheme="minorHAnsi" w:hAnsiTheme="minorHAnsi" w:cstheme="minorHAnsi"/>
          <w:noProof/>
          <w:sz w:val="22"/>
          <w:shd w:val="clear" w:color="auto" w:fill="FFFFFF"/>
        </w:rPr>
        <w:t xml:space="preserve"> dok je predmetna šema na snazi</w:t>
      </w:r>
      <w:r w:rsidRPr="0086255B">
        <w:rPr>
          <w:rFonts w:asciiTheme="minorHAnsi" w:hAnsiTheme="minorHAnsi" w:cstheme="minorHAnsi"/>
          <w:noProof/>
          <w:sz w:val="22"/>
        </w:rPr>
        <w:t xml:space="preserve">, kako bi se </w:t>
      </w:r>
      <w:r w:rsidRPr="0086255B">
        <w:rPr>
          <w:rFonts w:asciiTheme="minorHAnsi" w:hAnsiTheme="minorHAnsi" w:cstheme="minorHAnsi"/>
          <w:noProof/>
          <w:sz w:val="22"/>
          <w:shd w:val="clear" w:color="auto" w:fill="FFFFFF"/>
        </w:rPr>
        <w:t xml:space="preserve">ponovo uspostavila efikasna konkurencija i kada </w:t>
      </w:r>
      <w:r w:rsidRPr="0086255B">
        <w:rPr>
          <w:rFonts w:asciiTheme="minorHAnsi" w:hAnsiTheme="minorHAnsi" w:cstheme="minorHAnsi"/>
          <w:noProof/>
          <w:sz w:val="22"/>
        </w:rPr>
        <w:t>(tačka 49 podtačka (c) CEEAG-a)</w:t>
      </w:r>
      <w:r w:rsidRPr="0086255B">
        <w:rPr>
          <w:rFonts w:asciiTheme="minorHAnsi" w:hAnsiTheme="minorHAnsi" w:cstheme="minorHAnsi"/>
          <w:noProof/>
          <w:sz w:val="22"/>
          <w:shd w:val="clear" w:color="auto" w:fill="FFFFFF"/>
        </w:rPr>
        <w:t xml:space="preserve">; </w:t>
      </w:r>
    </w:p>
    <w:p w14:paraId="20B0E97B"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DF9CAAE" w14:textId="77777777" w:rsidR="009C1424" w:rsidRPr="0086255B" w:rsidRDefault="009C1424" w:rsidP="009C1424">
      <w:pPr>
        <w:pStyle w:val="Point1letter"/>
        <w:numPr>
          <w:ilvl w:val="0"/>
          <w:numId w:val="18"/>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 xml:space="preserve">potvrdite da nisu dozvoljena </w:t>
      </w:r>
      <w:r w:rsidRPr="0086255B">
        <w:rPr>
          <w:rStyle w:val="oj-italic"/>
          <w:rFonts w:asciiTheme="minorHAnsi" w:hAnsiTheme="minorHAnsi" w:cstheme="minorHAnsi"/>
          <w:i/>
          <w:noProof/>
          <w:sz w:val="22"/>
          <w:shd w:val="clear" w:color="auto" w:fill="FFFFFF"/>
        </w:rPr>
        <w:t>ex post</w:t>
      </w:r>
      <w:r w:rsidRPr="0086255B">
        <w:rPr>
          <w:rFonts w:asciiTheme="minorHAnsi" w:hAnsiTheme="minorHAnsi" w:cstheme="minorHAnsi"/>
          <w:noProof/>
          <w:sz w:val="22"/>
          <w:shd w:val="clear" w:color="auto" w:fill="FFFFFF"/>
        </w:rPr>
        <w:t xml:space="preserve"> prilagođavanja rezultata tenderskog postupka (kao što su naknadni pregovori o rezultatima ponuda ili uvođenje kvota) </w:t>
      </w:r>
      <w:r w:rsidRPr="0086255B">
        <w:rPr>
          <w:rFonts w:asciiTheme="minorHAnsi" w:hAnsiTheme="minorHAnsi" w:cstheme="minorHAnsi"/>
          <w:noProof/>
          <w:sz w:val="22"/>
        </w:rPr>
        <w:t>(tačka 49 podtačka (d) CEEAG-a)</w:t>
      </w:r>
      <w:r w:rsidRPr="0086255B">
        <w:rPr>
          <w:rFonts w:asciiTheme="minorHAnsi" w:hAnsiTheme="minorHAnsi" w:cstheme="minorHAnsi"/>
          <w:noProof/>
          <w:sz w:val="22"/>
          <w:shd w:val="clear" w:color="auto" w:fill="FFFFFF"/>
        </w:rPr>
        <w:t>;</w:t>
      </w:r>
    </w:p>
    <w:p w14:paraId="32E15B7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A7FA1EE" w14:textId="77777777" w:rsidR="009C1424" w:rsidRPr="0086255B" w:rsidRDefault="009C1424" w:rsidP="009C1424">
      <w:pPr>
        <w:pStyle w:val="Point1letter"/>
        <w:numPr>
          <w:ilvl w:val="0"/>
          <w:numId w:val="18"/>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ako</w:t>
      </w:r>
      <w:r w:rsidRPr="0086255B">
        <w:rPr>
          <w:rFonts w:asciiTheme="minorHAnsi" w:hAnsiTheme="minorHAnsi" w:cstheme="minorHAnsi"/>
          <w:noProof/>
          <w:sz w:val="22"/>
        </w:rPr>
        <w:t xml:space="preserve"> postoji mogućnost „ponuda sa nultim subvencijama”, objasnite kako će se obezbijediti </w:t>
      </w:r>
      <w:r w:rsidRPr="0086255B">
        <w:rPr>
          <w:rStyle w:val="oj-italic"/>
          <w:rFonts w:asciiTheme="minorHAnsi" w:hAnsiTheme="minorHAnsi" w:cstheme="minorHAnsi"/>
          <w:noProof/>
          <w:sz w:val="22"/>
          <w:shd w:val="clear" w:color="auto" w:fill="FFFFFF"/>
        </w:rPr>
        <w:t>proporcionalnost</w:t>
      </w:r>
      <w:r w:rsidRPr="0086255B">
        <w:rPr>
          <w:rFonts w:asciiTheme="minorHAnsi" w:hAnsiTheme="minorHAnsi" w:cstheme="minorHAnsi"/>
          <w:noProof/>
          <w:sz w:val="22"/>
        </w:rPr>
        <w:t xml:space="preserve"> (vidjeti tačku 49 fusnotu 42 CEEAG-a).</w:t>
      </w:r>
    </w:p>
    <w:p w14:paraId="5D73E0E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188F083" w14:textId="77777777" w:rsidR="009C1424" w:rsidRPr="0086255B" w:rsidRDefault="009C1424" w:rsidP="009C1424">
      <w:pPr>
        <w:pStyle w:val="Point1letter"/>
        <w:numPr>
          <w:ilvl w:val="0"/>
          <w:numId w:val="18"/>
        </w:numPr>
        <w:ind w:left="720"/>
        <w:rPr>
          <w:rFonts w:asciiTheme="minorHAnsi" w:hAnsiTheme="minorHAnsi" w:cstheme="minorHAnsi"/>
          <w:noProof/>
          <w:sz w:val="22"/>
        </w:rPr>
      </w:pPr>
      <w:r w:rsidRPr="0086255B">
        <w:rPr>
          <w:rFonts w:asciiTheme="minorHAnsi" w:hAnsiTheme="minorHAnsi" w:cstheme="minorHAnsi"/>
          <w:noProof/>
          <w:sz w:val="22"/>
        </w:rPr>
        <w:t>pojasnite da li nadležni organi predviđaju primjenu najnižih cijena ili ograničenja cijena u konkurentnom tenderskom postupku. Ako predviđaju, obrazložite njihovu primjenu i objasnite kako se njima ne ograničava konkurentni tenderski postupak (tačka 49 i fusnota 42 CEEAG-a). Ako se primjenjuju ograničenja cijena, obrazložite njihove nivoe imajući u vidu kvantifikaciju troškova i prihoda referentnih projekata u skladu sa pitanjem 12 tačka (c) podtačka (ii) iznad.</w:t>
      </w:r>
    </w:p>
    <w:p w14:paraId="3D7FBA91"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8251282"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kako struktura konkurentnog tenderskog postupka osigurava da postoje dovoljni podsticaji za učesnike da se prijave za projekte vezane za infrastrukturu za punjenje ili dopunu gorivom koja obezbjeđuje električnu energiju ili vodonik isključivo iz obnovljivih izvora. Na primjer, objasnite da li struktura konkurentnog tenderskog postupka uključuje bonuse koji omogućavaju dodjelu većeg broja bodova projektima koji donose više ekoloških koristi od onih koje proizilaze iz uslova prihvatljivosti ili primarnog cilja mjere (tačka 199 CEEAG-a).</w:t>
      </w:r>
    </w:p>
    <w:p w14:paraId="7143EA27" w14:textId="77777777" w:rsidR="009C1424" w:rsidRPr="0086255B" w:rsidRDefault="009C1424" w:rsidP="009C1424">
      <w:pPr>
        <w:tabs>
          <w:tab w:val="left" w:leader="dot" w:pos="9072"/>
        </w:tabs>
        <w:spacing w:before="120" w:after="120"/>
        <w:jc w:val="both"/>
        <w:rPr>
          <w:rFonts w:cstheme="minorHAnsi"/>
          <w:noProof/>
        </w:rPr>
      </w:pPr>
      <w:bookmarkStart w:id="1" w:name="_Hlk219709718"/>
      <w:r w:rsidRPr="0086255B">
        <w:rPr>
          <w:rFonts w:cstheme="minorHAnsi"/>
          <w:noProof/>
        </w:rPr>
        <w:tab/>
      </w:r>
    </w:p>
    <w:bookmarkEnd w:id="1"/>
    <w:p w14:paraId="557ACDB5" w14:textId="77777777" w:rsidR="009C1424" w:rsidRPr="0086255B" w:rsidRDefault="009C1424" w:rsidP="009C1424">
      <w:pPr>
        <w:pStyle w:val="Heading4"/>
        <w:keepLines w:val="0"/>
        <w:numPr>
          <w:ilvl w:val="3"/>
          <w:numId w:val="3"/>
        </w:numPr>
        <w:tabs>
          <w:tab w:val="clear" w:pos="850"/>
        </w:tabs>
        <w:spacing w:before="120" w:after="120"/>
        <w:ind w:left="720" w:hanging="720"/>
        <w:rPr>
          <w:rFonts w:asciiTheme="minorHAnsi" w:hAnsiTheme="minorHAnsi" w:cstheme="minorHAnsi"/>
          <w:i w:val="0"/>
          <w:noProof/>
          <w:color w:val="auto"/>
          <w:sz w:val="22"/>
          <w:szCs w:val="22"/>
        </w:rPr>
      </w:pPr>
      <w:r w:rsidRPr="0086255B">
        <w:rPr>
          <w:rFonts w:asciiTheme="minorHAnsi" w:hAnsiTheme="minorHAnsi" w:cstheme="minorHAnsi"/>
          <w:noProof/>
          <w:color w:val="auto"/>
          <w:sz w:val="22"/>
          <w:szCs w:val="22"/>
        </w:rPr>
        <w:lastRenderedPageBreak/>
        <w:t>Proporcionalnost pomoći koja se ne dodjeljuje u okviru konkurentnog tenderskog postupka</w:t>
      </w:r>
    </w:p>
    <w:p w14:paraId="63327630" w14:textId="77777777" w:rsidR="009C1424" w:rsidRPr="0086255B" w:rsidRDefault="009C1424" w:rsidP="009C1424">
      <w:pPr>
        <w:pStyle w:val="Heading4"/>
        <w:numPr>
          <w:ilvl w:val="0"/>
          <w:numId w:val="0"/>
        </w:numPr>
        <w:spacing w:before="120" w:after="120"/>
        <w:rPr>
          <w:rFonts w:asciiTheme="minorHAnsi" w:hAnsiTheme="minorHAnsi" w:cstheme="minorHAnsi"/>
          <w:b w:val="0"/>
          <w:i w:val="0"/>
          <w:noProof/>
          <w:color w:val="auto"/>
          <w:sz w:val="22"/>
          <w:szCs w:val="22"/>
        </w:rPr>
      </w:pPr>
      <w:r w:rsidRPr="0086255B">
        <w:rPr>
          <w:rFonts w:asciiTheme="minorHAnsi" w:hAnsiTheme="minorHAnsi" w:cstheme="minorHAnsi"/>
          <w:b w:val="0"/>
          <w:noProof/>
          <w:color w:val="auto"/>
          <w:sz w:val="22"/>
          <w:szCs w:val="22"/>
        </w:rPr>
        <w:t>Za unos podataka u ovom odjeljku vidjeti tačke od 200 do 204 CEEAG-a.</w:t>
      </w:r>
    </w:p>
    <w:p w14:paraId="21ECFCAF"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Objasnite zašto se ne primjenjuje konkurentni tendereski postupak (po</w:t>
      </w:r>
      <w:r w:rsidRPr="0086255B">
        <w:rPr>
          <w:rFonts w:cstheme="minorHAnsi"/>
          <w:noProof/>
          <w:lang w:val="sr-Latn-RS"/>
        </w:rPr>
        <w:t>zivajući se</w:t>
      </w:r>
      <w:r w:rsidRPr="0086255B">
        <w:rPr>
          <w:rFonts w:cstheme="minorHAnsi"/>
          <w:noProof/>
        </w:rPr>
        <w:t xml:space="preserve"> na izuzetke utvrđene u tački 200 CEEAG-a): </w:t>
      </w:r>
    </w:p>
    <w:p w14:paraId="1BA698F9" w14:textId="77777777" w:rsidR="009C1424" w:rsidRPr="0086255B" w:rsidRDefault="009C1424" w:rsidP="009C1424">
      <w:pPr>
        <w:pStyle w:val="Point1letter"/>
        <w:numPr>
          <w:ilvl w:val="3"/>
          <w:numId w:val="19"/>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očekivani broj učesnika nije dovoljan da obezbijedi efikasnu konkurenciju ili izbjegavanje strateškog licitiranje;</w:t>
      </w:r>
    </w:p>
    <w:p w14:paraId="6147424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5C76682" w14:textId="77777777" w:rsidR="009C1424" w:rsidRPr="0086255B" w:rsidRDefault="009C1424" w:rsidP="009C1424">
      <w:pPr>
        <w:spacing w:before="100" w:beforeAutospacing="1" w:after="100" w:afterAutospacing="1"/>
        <w:ind w:left="720"/>
        <w:jc w:val="both"/>
        <w:rPr>
          <w:rFonts w:cstheme="minorHAnsi"/>
          <w:noProof/>
        </w:rPr>
      </w:pPr>
      <w:r w:rsidRPr="0086255B">
        <w:rPr>
          <w:rFonts w:cstheme="minorHAnsi"/>
          <w:i/>
          <w:noProof/>
        </w:rPr>
        <w:t>ILI</w:t>
      </w:r>
    </w:p>
    <w:p w14:paraId="4DB4373B"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 xml:space="preserve">konkurentni tenderski postupak, kako je opisan u tačkama 49 i 50, nije primjeren da bi se osigurala proporcionalnost pomoći i upotrebom alternativnih metoda navedenih u tačkama od 201 do 204 CEEAG-a za dokazivanje proporcionalnosti ne bi se povećao rizik od neopravdanog narušavanja konkurencije, u zavisnosti od karakteristika mjere ili sektora odnosno vrsta </w:t>
      </w:r>
      <w:r>
        <w:rPr>
          <w:rFonts w:cstheme="minorHAnsi"/>
          <w:noProof/>
        </w:rPr>
        <w:t>saobraćaja</w:t>
      </w:r>
      <w:r w:rsidRPr="0086255B">
        <w:rPr>
          <w:rFonts w:cstheme="minorHAnsi"/>
          <w:noProof/>
        </w:rPr>
        <w:t xml:space="preserve"> o kojima je riječ;</w:t>
      </w:r>
    </w:p>
    <w:p w14:paraId="15B7C082"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560E82F" w14:textId="77777777" w:rsidR="009C1424" w:rsidRPr="0086255B" w:rsidRDefault="009C1424" w:rsidP="009C1424">
      <w:pPr>
        <w:spacing w:before="100" w:beforeAutospacing="1" w:after="100" w:afterAutospacing="1"/>
        <w:ind w:left="720"/>
        <w:jc w:val="both"/>
        <w:rPr>
          <w:rFonts w:cstheme="minorHAnsi"/>
          <w:noProof/>
        </w:rPr>
      </w:pPr>
      <w:r w:rsidRPr="0086255B">
        <w:rPr>
          <w:rFonts w:cstheme="minorHAnsi"/>
          <w:i/>
          <w:noProof/>
        </w:rPr>
        <w:t>ILI</w:t>
      </w:r>
      <w:r w:rsidRPr="0086255B">
        <w:rPr>
          <w:rFonts w:cstheme="minorHAnsi"/>
          <w:noProof/>
        </w:rPr>
        <w:t xml:space="preserve"> </w:t>
      </w:r>
    </w:p>
    <w:p w14:paraId="31B82C51"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pomoć se dodjeljuje za punjenje ili dopunu gorivom koja će upotrebljavati privredna društva u sektoru javnog prevoza putnika kopnenim, željez</w:t>
      </w:r>
      <w:r>
        <w:rPr>
          <w:rFonts w:cstheme="minorHAnsi"/>
          <w:noProof/>
        </w:rPr>
        <w:t>ničkim ili pomorskim saobraćajem</w:t>
      </w:r>
      <w:r w:rsidRPr="0086255B">
        <w:rPr>
          <w:rFonts w:cstheme="minorHAnsi"/>
          <w:noProof/>
        </w:rPr>
        <w:t>;</w:t>
      </w:r>
    </w:p>
    <w:p w14:paraId="0188DFB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AFB4379" w14:textId="77777777" w:rsidR="009C1424" w:rsidRPr="0086255B" w:rsidRDefault="009C1424" w:rsidP="009C1424">
      <w:pPr>
        <w:spacing w:before="100" w:beforeAutospacing="1" w:after="100" w:afterAutospacing="1"/>
        <w:ind w:left="720"/>
        <w:jc w:val="both"/>
        <w:rPr>
          <w:rFonts w:cstheme="minorHAnsi"/>
          <w:i/>
          <w:noProof/>
        </w:rPr>
      </w:pPr>
      <w:r w:rsidRPr="0086255B">
        <w:rPr>
          <w:rFonts w:cstheme="minorHAnsi"/>
          <w:i/>
          <w:noProof/>
        </w:rPr>
        <w:t>ILI</w:t>
      </w:r>
    </w:p>
    <w:p w14:paraId="14586A8D"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pomoć se dodjeljuje za infrastrukturu za punjenje ili dopunu gorivom koju će isključivo ili prije svega upotrebljavati korisnik pomoći i koja nije dostupna javnosti. U tom slučaju navedite razloge zbog kojih nije predviđen konkurentni tenderski postupak;</w:t>
      </w:r>
    </w:p>
    <w:p w14:paraId="1EFC7054"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56DF678" w14:textId="77777777" w:rsidR="009C1424" w:rsidRPr="0086255B" w:rsidRDefault="009C1424" w:rsidP="009C1424">
      <w:pPr>
        <w:pStyle w:val="Point1letter"/>
        <w:numPr>
          <w:ilvl w:val="0"/>
          <w:numId w:val="0"/>
        </w:numPr>
        <w:ind w:left="720"/>
        <w:rPr>
          <w:rFonts w:asciiTheme="minorHAnsi" w:hAnsiTheme="minorHAnsi" w:cstheme="minorHAnsi"/>
          <w:i/>
          <w:noProof/>
          <w:sz w:val="22"/>
        </w:rPr>
      </w:pPr>
      <w:r w:rsidRPr="0086255B">
        <w:rPr>
          <w:rFonts w:asciiTheme="minorHAnsi" w:hAnsiTheme="minorHAnsi" w:cstheme="minorHAnsi"/>
          <w:i/>
          <w:noProof/>
          <w:sz w:val="22"/>
        </w:rPr>
        <w:t>ILI</w:t>
      </w:r>
    </w:p>
    <w:p w14:paraId="76953D05"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pomoć se dodjeljuje za infrastrukturu za punjenje ili dopunu gorivom namijenjenu određenim vrstama vozila čija je odgovarajuća stopa tržišne penetracije (za relevantnu vrstu vozila koja bi koristila infrastrukturu) u predmetnoj državi članici ili obim prometa u predmetnim regionima vrlo ograničena i dostavite popratne podatke. </w:t>
      </w:r>
    </w:p>
    <w:p w14:paraId="5652EA71"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5F8D42E" w14:textId="77777777" w:rsidR="009C1424" w:rsidRPr="0086255B" w:rsidRDefault="009C1424" w:rsidP="009C1424">
      <w:pPr>
        <w:pStyle w:val="Heading5"/>
        <w:keepLines w:val="0"/>
        <w:numPr>
          <w:ilvl w:val="4"/>
          <w:numId w:val="3"/>
        </w:numPr>
        <w:tabs>
          <w:tab w:val="clear" w:pos="1417"/>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 pomoći dodijeljene na osnovu analize finansijskog jaza</w:t>
      </w:r>
    </w:p>
    <w:p w14:paraId="75F0CE76"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shd w:val="clear" w:color="auto" w:fill="FFFFFF"/>
        </w:rPr>
        <w:t>Ako se pomoći utvrđuje na temelju analize finansijskog jaza, kako bi se provjerila usklađenost sa tačkom 201 CEEAG-a</w:t>
      </w:r>
      <w:r w:rsidRPr="0086255B">
        <w:rPr>
          <w:rFonts w:cstheme="minorHAnsi"/>
          <w:noProof/>
        </w:rPr>
        <w:t>, obrazložite iznos pomoći na osnovu analize finansijskog jaza u skladu sa tačkama 48, 51 i 52 CEEAG-a za referentne projekte u činjeničnom i uporednom scenariju kako je utvrđeno u odgovoru na pitanje 12 iznad.</w:t>
      </w:r>
    </w:p>
    <w:p w14:paraId="322D785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56E2B46"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lastRenderedPageBreak/>
        <w:t>Za potrebe ove analize finansijskog jaza dostavite, za činjenične i</w:t>
      </w:r>
      <w:r w:rsidRPr="0086255B">
        <w:rPr>
          <w:rFonts w:cstheme="minorHAnsi"/>
          <w:noProof/>
          <w:shd w:val="clear" w:color="auto" w:fill="FFFFFF"/>
        </w:rPr>
        <w:t xml:space="preserve"> realne</w:t>
      </w:r>
      <w:r w:rsidRPr="0086255B">
        <w:rPr>
          <w:rFonts w:cstheme="minorHAnsi"/>
          <w:noProof/>
        </w:rPr>
        <w:t xml:space="preserve"> uporedne scenarije</w:t>
      </w:r>
      <w:r w:rsidRPr="0086255B">
        <w:rPr>
          <w:rFonts w:cstheme="minorHAnsi"/>
          <w:noProof/>
          <w:vertAlign w:val="superscript"/>
        </w:rPr>
        <w:footnoteReference w:id="7"/>
      </w:r>
      <w:r w:rsidRPr="0086255B">
        <w:rPr>
          <w:rFonts w:cstheme="minorHAnsi"/>
          <w:noProof/>
        </w:rPr>
        <w:t xml:space="preserve"> (utvrđene u odgovoru na pitanje 12 iznad), kvantifikaciju svih glavnih troškova i prihoda, procijenjenu ponderisanu prosječnu cijenu kapitala korisnika pomoći (ili referentnih projekata) za diskontovanje budućih novčanih tokova kao i neto sadašnju vrijednost za činjenični i uporedni scenario tokom životnog vijeka projekta/referentnog projekta. </w:t>
      </w:r>
    </w:p>
    <w:p w14:paraId="3E7EE077" w14:textId="77777777" w:rsidR="009C1424" w:rsidRPr="0086255B" w:rsidRDefault="009C1424" w:rsidP="009C1424">
      <w:pPr>
        <w:pStyle w:val="Point1letter"/>
        <w:numPr>
          <w:ilvl w:val="3"/>
          <w:numId w:val="20"/>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te podatke dostavite u prilogu ovom obrascu prijave (u datoteci formata Excel </w:t>
      </w:r>
      <w:r w:rsidRPr="0086255B">
        <w:rPr>
          <w:rFonts w:asciiTheme="minorHAnsi" w:hAnsiTheme="minorHAnsi" w:cstheme="minorHAnsi"/>
          <w:noProof/>
          <w:sz w:val="22"/>
          <w:shd w:val="clear" w:color="auto" w:fill="FFFFFF"/>
        </w:rPr>
        <w:t>u kojoj su vidljive sve formule</w:t>
      </w:r>
      <w:r w:rsidRPr="0086255B">
        <w:rPr>
          <w:rFonts w:asciiTheme="minorHAnsi" w:hAnsiTheme="minorHAnsi" w:cstheme="minorHAnsi"/>
          <w:noProof/>
          <w:sz w:val="22"/>
        </w:rPr>
        <w:t>);</w:t>
      </w:r>
    </w:p>
    <w:p w14:paraId="24760C60"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FC57BDD"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navedite detaljne podatke o pretpostavkama, metodologijama, obrazloženjima i osnovnim izvorima koji se upotrebljavaju za svaki aspekt kvantifikacije troškova i prihoda u činjeničnom scenariju i vjerojatnom uporednom scenariju (npr. navedite pretpostavke upotrijebljene za utvrđivanje tih scenarija kao i izvor/obrazloženje za te pretpostavke);</w:t>
      </w:r>
    </w:p>
    <w:p w14:paraId="362DC7F2" w14:textId="77777777" w:rsidR="009C1424" w:rsidRPr="0086255B" w:rsidRDefault="009C1424" w:rsidP="009C1424">
      <w:pPr>
        <w:tabs>
          <w:tab w:val="left" w:leader="dot" w:pos="9072"/>
        </w:tabs>
        <w:spacing w:before="120" w:after="120"/>
        <w:jc w:val="both"/>
        <w:rPr>
          <w:rFonts w:cstheme="minorHAnsi"/>
          <w:noProof/>
        </w:rPr>
      </w:pPr>
      <w:bookmarkStart w:id="2" w:name="_Hlk219711141"/>
      <w:r w:rsidRPr="0086255B">
        <w:rPr>
          <w:rFonts w:cstheme="minorHAnsi"/>
          <w:noProof/>
        </w:rPr>
        <w:tab/>
      </w:r>
    </w:p>
    <w:bookmarkEnd w:id="2"/>
    <w:p w14:paraId="155C4FA8"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shd w:val="clear" w:color="auto" w:fill="FFFFFF"/>
        </w:rPr>
      </w:pPr>
      <w:r w:rsidRPr="0086255B">
        <w:rPr>
          <w:rFonts w:cstheme="minorHAnsi"/>
          <w:noProof/>
        </w:rPr>
        <w:t>u slučajevima individualne pomoći i šema koje su namijenjeni vrlo ograničenom broju korisnika ili postojećih korisnika država članica mora da dostavi popratne dokaze na nivou detaljnog poslovnog plana projekta.</w:t>
      </w:r>
    </w:p>
    <w:p w14:paraId="1168911D" w14:textId="77777777" w:rsidR="009C1424" w:rsidRPr="0086255B" w:rsidRDefault="009C1424" w:rsidP="009C1424">
      <w:pPr>
        <w:spacing w:before="120" w:after="120"/>
        <w:ind w:left="360"/>
        <w:jc w:val="both"/>
        <w:rPr>
          <w:rFonts w:cstheme="minorHAnsi"/>
          <w:noProof/>
          <w:shd w:val="clear" w:color="auto" w:fill="FFFFFF"/>
        </w:rPr>
      </w:pPr>
      <w:r w:rsidRPr="0086255B">
        <w:rPr>
          <w:rFonts w:cstheme="minorHAnsi"/>
          <w:noProof/>
          <w:shd w:val="clear" w:color="auto" w:fill="FFFFFF"/>
        </w:rPr>
        <w:t>U slučajevima šema pomoći, država članica mora da dostavi popratne dokaze na osnovu jednog ili više referentnih projekata (tačka 53 CEEAG-a);</w:t>
      </w:r>
    </w:p>
    <w:p w14:paraId="7393B80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5081B72" w14:textId="77777777" w:rsidR="009C1424" w:rsidRPr="0086255B" w:rsidRDefault="009C1424" w:rsidP="009C1424">
      <w:pPr>
        <w:numPr>
          <w:ilvl w:val="3"/>
          <w:numId w:val="5"/>
        </w:numPr>
        <w:tabs>
          <w:tab w:val="clear" w:pos="1417"/>
        </w:tabs>
        <w:spacing w:before="120" w:after="120" w:line="240" w:lineRule="auto"/>
        <w:ind w:left="720" w:hanging="360"/>
        <w:jc w:val="both"/>
        <w:rPr>
          <w:rFonts w:cstheme="minorHAnsi"/>
          <w:noProof/>
        </w:rPr>
      </w:pPr>
      <w:r w:rsidRPr="0086255B">
        <w:rPr>
          <w:rFonts w:cstheme="minorHAnsi"/>
          <w:noProof/>
        </w:rPr>
        <w:t>ovom obrascu prijave možete da priložite i dokumenta navedena u fusnoti 39 CEEAG-a. Dokumenta upravnih odbora mogu biti posebno korisna za mjere individualne pomoći ili šeme pomoći namijenjene vrlo ograničenom broju korisnika. Ako su takva dokumenta priložena uz obrazac prijave, u nastavku navedite popis tih dokumenata i navedite autora, datum sastavljanja i kontekst u kojem su upotrijebljena.</w:t>
      </w:r>
    </w:p>
    <w:p w14:paraId="2311A6BA"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735FDE4"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Ako se primjenjuje tačka 52 CEEAG-a, tj. najvjerovatniji uporedni scenario se sastoji u tome da korisnik ne obavlja djelatnost ili ne ulaže ili nastavlja poslovanje bez promjena, dostavite dokaze koji potkrepljuju ovu pretpostavku</w:t>
      </w:r>
      <w:r w:rsidRPr="0086255B">
        <w:rPr>
          <w:rFonts w:cstheme="minorHAnsi"/>
          <w:noProof/>
          <w:vertAlign w:val="superscript"/>
          <w:lang w:eastAsia="en-GB"/>
        </w:rPr>
        <w:footnoteReference w:id="8"/>
      </w:r>
      <w:r w:rsidRPr="0086255B">
        <w:rPr>
          <w:rFonts w:cstheme="minorHAnsi"/>
          <w:noProof/>
        </w:rPr>
        <w:t>.</w:t>
      </w:r>
    </w:p>
    <w:p w14:paraId="6D5A093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2215B47"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shd w:val="clear" w:color="auto" w:fill="FFFFFF"/>
        </w:rPr>
      </w:pPr>
      <w:r w:rsidRPr="0086255B">
        <w:rPr>
          <w:rFonts w:cstheme="minorHAnsi"/>
          <w:noProof/>
          <w:shd w:val="clear" w:color="auto" w:fill="FFFFFF"/>
        </w:rPr>
        <w:t>U svim slučajevima u kojima je proporcionalnost opravdana upućivanjem na analizu finansijskog jaza, potvrdite i da će vaši nadležni organi sprovesti ex post kontrolu kako bi provjerili pretpostavke o nivou neophodne pomoći i uspostavili mehanizam za povraćaj prekomjerno dodijeljenih sredstava. Opišite i mehanizam kontrole i povraćaja prekomjerno dodijeljenih sredstava koji vaši nadležni organi namjeravaju da primijene (tačka 201 CEEAG-a).</w:t>
      </w:r>
    </w:p>
    <w:p w14:paraId="44B77ED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E8A0C52" w14:textId="77777777" w:rsidR="009C1424" w:rsidRPr="0086255B" w:rsidRDefault="009C1424" w:rsidP="009C1424">
      <w:pPr>
        <w:pStyle w:val="Heading5"/>
        <w:keepLines w:val="0"/>
        <w:numPr>
          <w:ilvl w:val="4"/>
          <w:numId w:val="3"/>
        </w:numPr>
        <w:tabs>
          <w:tab w:val="clear" w:pos="1417"/>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lastRenderedPageBreak/>
        <w:t>Proporcionalnost pomoći dodijeljene na osnovu opravdanih troškova i intenziteta pomoći</w:t>
      </w:r>
    </w:p>
    <w:p w14:paraId="2107763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iznos pomoći utvrđuje na osnovu opravdanih troškova i intenziteta pomoći, opišite opravdane troškove u okviru mjere, uz napomenu da su u skladu sa tačkama 202, 203 i 204 CEEAG-a opravdani troškovi svi troškovi ulaganja u izgradnju, instalaciju, unapređenje ili proširenje infrastrukture za punjenje ili dopunu gorivom. Oni, na primjer, mogu uključivati:</w:t>
      </w:r>
    </w:p>
    <w:p w14:paraId="364DE575" w14:textId="77777777" w:rsidR="009C1424" w:rsidRPr="0086255B" w:rsidRDefault="009C1424" w:rsidP="009C1424">
      <w:pPr>
        <w:pStyle w:val="Point1letter"/>
        <w:numPr>
          <w:ilvl w:val="3"/>
          <w:numId w:val="2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troškove infrastrukture za punjenje ili dopunu gorivom i povezane tehničke opreme;</w:t>
      </w:r>
    </w:p>
    <w:p w14:paraId="6568810F"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troškove instalacije ili unapređenje električnih ili drugih komponenti, uključujući električne kablove i energetske transformatore, koji su potrebni da bi se infrastruktura za punjenje ili dopunu gorivom priključila na mrežu ili na lokalnu jedinicu za proizvodnju ili skladištenje električne energije ili vodonika kao i da bi infrastruktura za punjenje bila pripremljena za pametne tehnologije;</w:t>
      </w:r>
    </w:p>
    <w:p w14:paraId="752C0831"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troškove građevinskih radova, prilagođavanja zemljišta ili puteva, troškove instalacije i troškove pribavljanja povezanih dozvola;</w:t>
      </w:r>
    </w:p>
    <w:p w14:paraId="354347A6"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troškove ulaganja u jedinice za proizvodnju električne energije iz obnovljivih izvora ili vodonika iz obnovljivih izvora odnosno vodonika sa niskim sadržajem ugljenika na lokaciji ili troškova skladišnih potrojenja.</w:t>
      </w:r>
    </w:p>
    <w:p w14:paraId="71206AEB"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3B29B62" w14:textId="77777777" w:rsidR="009C1424" w:rsidRPr="0086255B" w:rsidRDefault="009C1424" w:rsidP="009C1424">
      <w:pPr>
        <w:numPr>
          <w:ilvl w:val="0"/>
          <w:numId w:val="4"/>
        </w:numPr>
        <w:tabs>
          <w:tab w:val="clear" w:pos="850"/>
        </w:tabs>
        <w:spacing w:before="120" w:after="120" w:line="240" w:lineRule="auto"/>
        <w:ind w:left="360" w:hanging="360"/>
        <w:jc w:val="both"/>
        <w:rPr>
          <w:rFonts w:cstheme="minorHAnsi"/>
          <w:noProof/>
        </w:rPr>
      </w:pPr>
      <w:r w:rsidRPr="0086255B">
        <w:rPr>
          <w:rFonts w:cstheme="minorHAnsi"/>
          <w:noProof/>
        </w:rPr>
        <w:t>Navedite maksimalne intenzitete pomoći koji se primjenjuju u okviru mjere i navedite da li se primjenjuju bonusi (kao što je opisano u tački 202 CEEAG-a).</w:t>
      </w:r>
    </w:p>
    <w:p w14:paraId="75FFA231"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AFE165A" w14:textId="77777777" w:rsidR="009C1424" w:rsidRPr="0086255B" w:rsidRDefault="009C1424" w:rsidP="009C1424">
      <w:pPr>
        <w:pStyle w:val="Heading3"/>
        <w:keepLines w:val="0"/>
        <w:numPr>
          <w:ilvl w:val="2"/>
          <w:numId w:val="3"/>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30AC71E8" w14:textId="77777777" w:rsidR="009C1424" w:rsidRPr="0086255B" w:rsidRDefault="009C1424" w:rsidP="009C1424">
      <w:pPr>
        <w:spacing w:before="120" w:after="120"/>
        <w:jc w:val="both"/>
        <w:rPr>
          <w:rFonts w:cstheme="minorHAnsi"/>
          <w:i/>
          <w:iCs/>
          <w:noProof/>
        </w:rPr>
      </w:pPr>
      <w:r w:rsidRPr="0086255B">
        <w:rPr>
          <w:rFonts w:cstheme="minorHAnsi"/>
          <w:i/>
          <w:noProof/>
        </w:rPr>
        <w:t>Za unos podataka u ovom odjeljku vidjeti tačke 56 i 57 CEEAG-a.</w:t>
      </w:r>
    </w:p>
    <w:p w14:paraId="629AAAD2"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provjerila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62981673"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FA223A6"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tačkom 199, 201 ili 202 CEEAG-a. Za svaku mjeru sa kojom se pomoć dodijeljena u okviru prijavljenih mjera pomoći može kumulirati navedite metodologiju koja je korišćenja kako bi se osigurala usklađenost sa uslovima utvrđenim u tački 56 CEEAG-a.</w:t>
      </w:r>
    </w:p>
    <w:p w14:paraId="0A3E8A66"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C501E88"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9"/>
      </w:r>
      <w:r w:rsidRPr="0086255B">
        <w:rPr>
          <w:rFonts w:asciiTheme="minorHAnsi" w:hAnsiTheme="minorHAnsi" w:cstheme="minorHAnsi"/>
          <w:noProof/>
          <w:sz w:val="22"/>
        </w:rPr>
        <w:t xml:space="preserve"> Unije kojima se centralizovano upravlja (koja ne </w:t>
      </w:r>
      <w:r w:rsidRPr="0086255B">
        <w:rPr>
          <w:rFonts w:asciiTheme="minorHAnsi" w:hAnsiTheme="minorHAnsi" w:cstheme="minorHAnsi"/>
          <w:noProof/>
          <w:sz w:val="22"/>
        </w:rPr>
        <w:lastRenderedPageBreak/>
        <w:t xml:space="preserve">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48B01914"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6BEEDA8" w14:textId="77777777" w:rsidR="009C1424" w:rsidRPr="0086255B" w:rsidRDefault="009C1424" w:rsidP="009C1424">
      <w:pPr>
        <w:pStyle w:val="Heading3"/>
        <w:keepLines w:val="0"/>
        <w:numPr>
          <w:ilvl w:val="2"/>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T</w:t>
      </w:r>
      <w:r w:rsidRPr="0086255B">
        <w:rPr>
          <w:rFonts w:asciiTheme="minorHAnsi" w:hAnsiTheme="minorHAnsi" w:cstheme="minorHAnsi"/>
          <w:i/>
          <w:noProof/>
          <w:color w:val="auto"/>
          <w:sz w:val="22"/>
          <w:szCs w:val="22"/>
        </w:rPr>
        <w:t>ransparentnost</w:t>
      </w:r>
    </w:p>
    <w:p w14:paraId="05B01443"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odjeljak 3.2.1.4. (tačke od 58 do 61) CEEAG-a. </w:t>
      </w:r>
    </w:p>
    <w:p w14:paraId="4F05F3BA" w14:textId="77777777" w:rsidR="009C1424" w:rsidRPr="0086255B" w:rsidRDefault="009C1424" w:rsidP="009C1424">
      <w:pPr>
        <w:pStyle w:val="NumPar1"/>
        <w:numPr>
          <w:ilvl w:val="0"/>
          <w:numId w:val="4"/>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326418E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51C8387"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71EEA68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B78B7F4" w14:textId="77777777" w:rsidR="009C1424" w:rsidRPr="0086255B" w:rsidRDefault="009C1424" w:rsidP="009C1424">
      <w:pPr>
        <w:pStyle w:val="Heading2"/>
        <w:keepLines w:val="0"/>
        <w:numPr>
          <w:ilvl w:val="1"/>
          <w:numId w:val="3"/>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1135FD29"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odjeljak 3.2.2. (tačke od 63 do 70) i odjeljak 4.3.2.4. (tačke od 205 do 216) CEEAG-a. </w:t>
      </w:r>
    </w:p>
    <w:p w14:paraId="5F3DC89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67 CEEAG-a, dostavite podatke o mogućim kratkoročnim i dugoročnim negativnim efektima prijavljenih mjera na uslove konkurencije i trgovinu. </w:t>
      </w:r>
    </w:p>
    <w:p w14:paraId="60441EC4"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05D38F8"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035F4DED" w14:textId="77777777" w:rsidR="009C1424" w:rsidRPr="0086255B" w:rsidRDefault="009C1424" w:rsidP="009C1424">
      <w:pPr>
        <w:pStyle w:val="Point1letter"/>
        <w:numPr>
          <w:ilvl w:val="3"/>
          <w:numId w:val="2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odnosi se na tržište (ili tržišta) na kojem su postojeći učesnici stekli tržišnu snagu prije liberalizacije tržišta;</w:t>
      </w:r>
    </w:p>
    <w:p w14:paraId="7A3D29A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774D4FA"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obuhvata konkurentne tenderske postupke na tržištima u nastajanju ako postoji učesnik sa snažnom tržišnom pozicijom;</w:t>
      </w:r>
    </w:p>
    <w:p w14:paraId="781B297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513F38F"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297389B2"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07635D9"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mjera pomoći usmjerena na određeni tehnološki izbor/pravac, obrazložite zašto je ta tehnologija odabrana i kako taj odabir neće obeshrabriti primjenu ili razvoj čistijih tehnologija. </w:t>
      </w:r>
    </w:p>
    <w:p w14:paraId="61FCAAE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353587C2"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su prijavljene mjere namijenjene samo jednom korisniku ili vrlo ograničenom broju korisnika, kako bi se provjerila usklađenost sa tačkom 68 CEEAG-a:</w:t>
      </w:r>
    </w:p>
    <w:p w14:paraId="61A5F285" w14:textId="77777777" w:rsidR="009C1424" w:rsidRPr="0086255B" w:rsidRDefault="009C1424" w:rsidP="009C1424">
      <w:pPr>
        <w:pStyle w:val="Point1letter"/>
        <w:numPr>
          <w:ilvl w:val="3"/>
          <w:numId w:val="2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objasnite da li prijavljene mjere jačaju ili održavaju tržišnu snagu korisnika ili odvraćaju postojeće konkurente od širenja, podstiču njihov izlazak sa tržišta ili odvraćaju nove konkurente od ulaska na tržište. U tom smislu objasnite i da li će mjera pomoći dovesti do povećanja proizvodnog kapaciteta korisnika;</w:t>
      </w:r>
    </w:p>
    <w:p w14:paraId="3655B860"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lastRenderedPageBreak/>
        <w:tab/>
      </w:r>
    </w:p>
    <w:p w14:paraId="118F0F79" w14:textId="77777777" w:rsidR="009C1424" w:rsidRPr="0086255B" w:rsidRDefault="009C1424" w:rsidP="009C1424">
      <w:pPr>
        <w:pStyle w:val="Point1letter"/>
        <w:numPr>
          <w:ilvl w:val="3"/>
          <w:numId w:val="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38514B3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1BEF737"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69 CEEAG-a, objasnite:</w:t>
      </w:r>
    </w:p>
    <w:p w14:paraId="361EACFB" w14:textId="77777777" w:rsidR="009C1424" w:rsidRPr="0086255B" w:rsidRDefault="009C1424" w:rsidP="009C1424">
      <w:pPr>
        <w:pStyle w:val="Point1letter"/>
        <w:numPr>
          <w:ilvl w:val="3"/>
          <w:numId w:val="2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da li je cilj pomoći dodijeljene u okviru prijavljenih mjera očuvanje ekonomske djelatnosti u jednom regionu ili njeno privlačenje iz drugih regiona na unutrašnjem tržištu; </w:t>
      </w:r>
    </w:p>
    <w:p w14:paraId="51DEF54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1743AF8" w14:textId="77777777" w:rsidR="009C1424" w:rsidRPr="0086255B" w:rsidRDefault="009C1424" w:rsidP="009C1424">
      <w:pPr>
        <w:pStyle w:val="Point1letter"/>
        <w:numPr>
          <w:ilvl w:val="3"/>
          <w:numId w:val="6"/>
        </w:numPr>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1307334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64810E1"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 koji način pomoć dodijeljena u okviru prijavljenih mjera nema očigledne negativne efekte na konkurenciju i trgovinu;</w:t>
      </w:r>
    </w:p>
    <w:p w14:paraId="65BC3D8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1919AA6"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kad je riječ o individualnoj pomoći, koji su glavni razlozi zbog kojih je korisnik odabrao određenu lokaciju za ulaganja.</w:t>
      </w:r>
    </w:p>
    <w:p w14:paraId="49E678AB"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9B011F7"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70 CEEAG-a:</w:t>
      </w:r>
    </w:p>
    <w:p w14:paraId="62ADE780" w14:textId="77777777" w:rsidR="009C1424" w:rsidRPr="0086255B" w:rsidRDefault="009C1424" w:rsidP="009C1424">
      <w:pPr>
        <w:pStyle w:val="Point1letter"/>
        <w:numPr>
          <w:ilvl w:val="3"/>
          <w:numId w:val="25"/>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4497113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27D0EAC"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42A8E18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3E1F534"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Potvrdite da nova infrastruktura za punjenje koja omogućuje prenos električne energije izlazne snage do 22 kW ima sposobnost da podrži funkcionalnosti pametnog punjenja (tačka 206 CEEAG-a). </w:t>
      </w:r>
    </w:p>
    <w:p w14:paraId="6E88A5F4"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B536839"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pomoć dodjeljuje za infrastrukturu za snabdijevanje sintetičkim gorivima za pomorski i vazdušni saobraćaj, uključujući obnovljiva tečna i gasovita goriva za transport nebiološkog porijekla, ili biogorivima, obrazložite potrebu za novom infrastrukturom. U slučaju tzv. „drop-in” sintetičkih goriva ili biogoriva razmotrite u kojoj se mjeri postojeća infrastruktura može iskoristiti za snabdijevanje tim gorivima (tačka 207 CEEAG-a).</w:t>
      </w:r>
    </w:p>
    <w:p w14:paraId="19D1F973" w14:textId="77777777" w:rsidR="009C1424" w:rsidRPr="0086255B" w:rsidRDefault="009C1424" w:rsidP="009C1424">
      <w:pPr>
        <w:tabs>
          <w:tab w:val="left" w:leader="dot" w:pos="9072"/>
        </w:tabs>
        <w:spacing w:before="120" w:after="120"/>
        <w:jc w:val="both"/>
        <w:rPr>
          <w:rFonts w:cstheme="minorHAnsi"/>
          <w:noProof/>
          <w:highlight w:val="yellow"/>
        </w:rPr>
      </w:pPr>
      <w:r w:rsidRPr="0086255B">
        <w:rPr>
          <w:rFonts w:cstheme="minorHAnsi"/>
          <w:noProof/>
        </w:rPr>
        <w:tab/>
      </w:r>
    </w:p>
    <w:p w14:paraId="275B60BC"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se pomoć odnosi na izgradnju, instalacije, unapređenje ili proširenje infrastrukture za dopunu kompresovanog prirodnog gasa (CNG) i tečnog prirodnog gasa (LNG ) za pomorski saobraćaj: </w:t>
      </w:r>
    </w:p>
    <w:p w14:paraId="779AC95C" w14:textId="77777777" w:rsidR="009C1424" w:rsidRPr="0086255B" w:rsidRDefault="009C1424" w:rsidP="009C1424">
      <w:pPr>
        <w:pStyle w:val="Point1letter"/>
        <w:numPr>
          <w:ilvl w:val="3"/>
          <w:numId w:val="26"/>
        </w:numPr>
        <w:tabs>
          <w:tab w:val="clear" w:pos="1417"/>
        </w:tabs>
        <w:ind w:left="729" w:hanging="369"/>
        <w:rPr>
          <w:rFonts w:asciiTheme="minorHAnsi" w:hAnsiTheme="minorHAnsi" w:cstheme="minorHAnsi"/>
          <w:noProof/>
          <w:sz w:val="22"/>
        </w:rPr>
      </w:pPr>
      <w:r w:rsidRPr="0086255B">
        <w:rPr>
          <w:rFonts w:asciiTheme="minorHAnsi" w:hAnsiTheme="minorHAnsi" w:cstheme="minorHAnsi"/>
          <w:noProof/>
          <w:sz w:val="22"/>
        </w:rPr>
        <w:t xml:space="preserve"> dokažite da na tržištu nisu lako dostupnae čistija alternativna rješenja i da se ne očekuje da će biti dostupna u kratkom roku, </w:t>
      </w:r>
    </w:p>
    <w:p w14:paraId="082BD00D" w14:textId="77777777" w:rsidR="009C1424" w:rsidRPr="0086255B" w:rsidRDefault="009C1424" w:rsidP="009C1424">
      <w:pPr>
        <w:tabs>
          <w:tab w:val="left" w:leader="dot" w:pos="9072"/>
        </w:tabs>
        <w:spacing w:before="120" w:after="120"/>
        <w:ind w:left="567"/>
        <w:jc w:val="both"/>
        <w:rPr>
          <w:rFonts w:cstheme="minorHAnsi"/>
          <w:noProof/>
        </w:rPr>
      </w:pPr>
      <w:r w:rsidRPr="0086255B">
        <w:rPr>
          <w:rFonts w:cstheme="minorHAnsi"/>
          <w:noProof/>
        </w:rPr>
        <w:lastRenderedPageBreak/>
        <w:tab/>
      </w:r>
    </w:p>
    <w:p w14:paraId="13D93F7E"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kako će se ta infrastruktura za snabdijevanje gorivom koristiti za pokretanje prelaska na goriva sa niskim sadržajem ugljenika (tačka 209 CEEAG-a) i </w:t>
      </w:r>
    </w:p>
    <w:p w14:paraId="1065842A" w14:textId="77777777" w:rsidR="009C1424" w:rsidRPr="0086255B" w:rsidRDefault="009C1424" w:rsidP="009C1424">
      <w:pPr>
        <w:tabs>
          <w:tab w:val="left" w:leader="dot" w:pos="9072"/>
        </w:tabs>
        <w:spacing w:before="120" w:after="120"/>
        <w:ind w:left="567"/>
        <w:jc w:val="both"/>
        <w:rPr>
          <w:rFonts w:cstheme="minorHAnsi"/>
          <w:noProof/>
        </w:rPr>
      </w:pPr>
      <w:r w:rsidRPr="0086255B">
        <w:rPr>
          <w:rFonts w:cstheme="minorHAnsi"/>
          <w:noProof/>
        </w:rPr>
        <w:tab/>
      </w:r>
    </w:p>
    <w:p w14:paraId="218C0C5C"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ulaganje dio puta dekarbonizacije i na koji način pomoć doprinosi postizanju ciljeva utvrđenih u zakonodavstvu Unije u vezi sa uvođenjem infrastrukture za alternativna goriva (tačka 209 CEEAG-a).</w:t>
      </w:r>
    </w:p>
    <w:p w14:paraId="14C2FBBE" w14:textId="77777777" w:rsidR="009C1424" w:rsidRPr="0086255B" w:rsidRDefault="009C1424" w:rsidP="009C1424">
      <w:pPr>
        <w:tabs>
          <w:tab w:val="left" w:leader="dot" w:pos="9072"/>
        </w:tabs>
        <w:spacing w:before="120" w:after="120"/>
        <w:ind w:left="567"/>
        <w:jc w:val="both"/>
        <w:rPr>
          <w:rFonts w:cstheme="minorHAnsi"/>
          <w:noProof/>
        </w:rPr>
      </w:pPr>
      <w:r w:rsidRPr="0086255B">
        <w:rPr>
          <w:rFonts w:cstheme="minorHAnsi"/>
          <w:noProof/>
        </w:rPr>
        <w:tab/>
      </w:r>
    </w:p>
    <w:p w14:paraId="17406518"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pomoć odnosi na izgradnju, instalaciju, unapređenje ili proširenje infrastrukture za snabdijevanje teških vozila gorivima koja koriste tečni prirodni gas, potvrdite da se neće dodjeljivati nakon 2025. godine Objasnite na koji će način pomoć doprinijeti postizanju ciljeva utvrđenih u zakonodavstvu Unije u vezi sa uvođenjem infrastrukture za alternativna goriva (tačka 210 CEEAG-a).</w:t>
      </w:r>
    </w:p>
    <w:p w14:paraId="1C72FE9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29ED662"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slučaju infrastrukture za snabdijevanje vodonikom navedite da li pomoć u okviru mjere podliježe uslovu da je vodonik koji se isporučuje putem podržane infrastrukture iz obnovljivih izvora ili sa niskim sadržajem ugljenika tokom čitavog njenog životnog vijeka. Ukoliko to nije slučaj, objasnite da li će se i na koji način obezbijediti da korisnici imaju vjerodostojan plan za postepeno ukidanje vodonika koji nije iz obnovljivih izvora i sa niskim sadržajem ugljenika, kako bi se najkasnije do 2035. godine snabdijevanje infrastrukturom vršilo isključivom takvim vodonikom (tačka 212 CEEAG-a).</w:t>
      </w:r>
    </w:p>
    <w:p w14:paraId="22931F0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11B317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prijavljena mjera sadrži zaštitne mjere protiv stvaranja ili jačanja pzicija tržišne snage koje bi mogle spriječiti ili narušiti efikasnu konkurenciju na tržištima u nastajanju ili u razvoju (na primjer utvrđivanje maksimalnog procenta budžeta za mjeru koji se može dodijeliti jednom privrednom društvu) (tačka 213 CEEAG-a). </w:t>
      </w:r>
    </w:p>
    <w:p w14:paraId="0B443589" w14:textId="77777777" w:rsidR="009C1424" w:rsidRPr="0086255B" w:rsidRDefault="009C1424" w:rsidP="009C1424">
      <w:pPr>
        <w:tabs>
          <w:tab w:val="left" w:leader="dot" w:pos="9072"/>
        </w:tabs>
        <w:spacing w:before="120" w:after="120"/>
        <w:ind w:left="567"/>
        <w:jc w:val="both"/>
        <w:rPr>
          <w:rFonts w:cstheme="minorHAnsi"/>
          <w:noProof/>
        </w:rPr>
      </w:pPr>
      <w:r w:rsidRPr="0086255B">
        <w:rPr>
          <w:rFonts w:cstheme="minorHAnsi"/>
          <w:noProof/>
        </w:rPr>
        <w:tab/>
      </w:r>
    </w:p>
    <w:p w14:paraId="52C683D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Opišite zaštitne mjere koje su na snazi kao dio prijavljene mjere kako bi se osiguralo da operatori infrastrukture za punjenje ili dopunu gorivom koji nude ili omogućuju plaćanja na osnovu ugovora ne diskriminišu neopravdano različite pružaoce usluga mobilnosti, na primjer neopravdanim pružanjem povlašćenog pristupa uz povoljnije uslove ili neopravdanim razlikovanjem cijena (tačka 214 CEEAG-a). </w:t>
      </w:r>
    </w:p>
    <w:p w14:paraId="24BBAD00"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EE8A07B"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Potvrdite da se sve koncesije ili druga ovlašćenja za upravljanje infrastrukturom za dopunu trećem licu (koje nije korisnik pomoći) moraju dodijeliti na konkurentnoj, transparentnoj i nediskriminatornoj osnovi, uzimajući u obzir pravila Unije o javnim nabavkama, gdje je to primjenjivo (tačka 215 CEEAG-a). </w:t>
      </w:r>
    </w:p>
    <w:p w14:paraId="4D617376"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E975B79"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će infrastruktura biti otvorena za pristup drugim korisnicima koji nisu korisnici pomoći, potvrdite da će korisnicima biti omogućen nediskriminatoran pristup, uključujući, gde je to primenjivo, u pogledu tarifa, metoda autentifikacije i plaćanja, kao i drugih uslova korišćenja (tačka 216 CEEAG-a).</w:t>
      </w:r>
    </w:p>
    <w:p w14:paraId="7F9CF01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2B4B3D2"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Potvrdite da naknade koje se naplaćuju korisnicima za korišćenje podržane infrastrukture za punjenje ili dopunu gorivom odgovaraju tržišnim cijenama (tačka 216 CEEAG-a). Navedite da li će operateri podržane infrastrukture za punjenje ili dopunu gorivom primjenjivati ogranićenja cijena; ako je odgovor potvrdan, objasnite na koji način se te ograničenja cijena određuju.</w:t>
      </w:r>
    </w:p>
    <w:p w14:paraId="2963621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64B80924" w14:textId="77777777" w:rsidR="009C1424" w:rsidRPr="0086255B" w:rsidRDefault="009C1424" w:rsidP="009C1424">
      <w:pPr>
        <w:pStyle w:val="Heading1"/>
        <w:keepNext/>
        <w:numPr>
          <w:ilvl w:val="0"/>
          <w:numId w:val="3"/>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Razmatranje pozitivnih efekata pomoći u odnosu na negativne efekte na konkurenciju i trgovinu</w:t>
      </w:r>
    </w:p>
    <w:p w14:paraId="034387AB" w14:textId="77777777" w:rsidR="009C1424" w:rsidRPr="0086255B" w:rsidRDefault="009C1424" w:rsidP="009C1424">
      <w:pPr>
        <w:spacing w:before="120" w:after="120"/>
        <w:jc w:val="both"/>
        <w:rPr>
          <w:rFonts w:cstheme="minorHAnsi"/>
          <w:i/>
          <w:noProof/>
        </w:rPr>
      </w:pPr>
      <w:r w:rsidRPr="0086255B">
        <w:rPr>
          <w:rFonts w:cstheme="minorHAnsi"/>
          <w:i/>
          <w:noProof/>
        </w:rPr>
        <w:t xml:space="preserve">Za unos podataka u ovom odjeljku vidjeti odjeljak 3.3. (tačke od 71 do 76) CEEAG-a. </w:t>
      </w:r>
    </w:p>
    <w:p w14:paraId="50B85993" w14:textId="77777777" w:rsidR="009C1424" w:rsidRPr="0086255B" w:rsidRDefault="009C1424" w:rsidP="009C1424">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lang w:eastAsia="en-GB"/>
        </w:rPr>
        <w:footnoteReference w:id="10"/>
      </w:r>
      <w:r w:rsidRPr="0086255B">
        <w:rPr>
          <w:rFonts w:asciiTheme="minorHAnsi" w:hAnsiTheme="minorHAnsi" w:cstheme="minorHAnsi"/>
          <w:noProof/>
          <w:sz w:val="22"/>
        </w:rPr>
        <w:t>, uključujući načelo „ne nanosi značajnu štetu”, ili druge uporedive metodologije.</w:t>
      </w:r>
    </w:p>
    <w:p w14:paraId="4B514DE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9272856" w14:textId="77777777" w:rsidR="009C1424" w:rsidRPr="0086255B" w:rsidRDefault="009C1424" w:rsidP="009C1424">
      <w:pPr>
        <w:pStyle w:val="NumPar1"/>
        <w:numPr>
          <w:ilvl w:val="0"/>
          <w:numId w:val="4"/>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 (U slučaju konkurentnog tendesrkog postupka) objasnite da li prijavljena mjera/e sadrži elemente koji olakšavaju učešće MSP-ova u konkurentnim tenderskim postupcima. Ako je odgovor potvrdan, navedite podatke o tim elementima i obrazložite na koji način pozitivni efekti kojima se obezbjeđuje učešće MSP-ova u prijavljenim mjerama prevazilaze moguće negativne efekte na konkurenciju.</w:t>
      </w:r>
    </w:p>
    <w:p w14:paraId="3E43174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tblBorders>
        <w:shd w:val="pct15" w:color="auto" w:fill="auto"/>
        <w:tblLook w:val="04A0" w:firstRow="1" w:lastRow="0" w:firstColumn="1" w:lastColumn="0" w:noHBand="0" w:noVBand="1"/>
      </w:tblPr>
      <w:tblGrid>
        <w:gridCol w:w="5040"/>
        <w:gridCol w:w="4310"/>
      </w:tblGrid>
      <w:tr w:rsidR="009C1424" w:rsidRPr="0086255B" w14:paraId="28A1911F" w14:textId="77777777" w:rsidTr="00D507D9">
        <w:tc>
          <w:tcPr>
            <w:tcW w:w="2695" w:type="pct"/>
            <w:shd w:val="pct15" w:color="auto" w:fill="auto"/>
          </w:tcPr>
          <w:p w14:paraId="2EE1B752" w14:textId="77777777" w:rsidR="009C1424" w:rsidRPr="0086255B" w:rsidRDefault="009C1424"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c>
          <w:tcPr>
            <w:tcW w:w="2305" w:type="pct"/>
            <w:shd w:val="pct15" w:color="auto" w:fill="auto"/>
          </w:tcPr>
          <w:p w14:paraId="2442902B" w14:textId="77777777" w:rsidR="009C1424" w:rsidRPr="0086255B" w:rsidRDefault="009C1424" w:rsidP="00D507D9">
            <w:pPr>
              <w:spacing w:before="120" w:after="120"/>
              <w:ind w:left="360" w:hanging="360"/>
              <w:jc w:val="both"/>
              <w:rPr>
                <w:rFonts w:cstheme="minorHAnsi"/>
                <w:b/>
                <w:noProof/>
                <w:lang w:eastAsia="hr-HR" w:bidi="hr-HR"/>
              </w:rPr>
            </w:pPr>
          </w:p>
        </w:tc>
      </w:tr>
    </w:tbl>
    <w:p w14:paraId="59492163" w14:textId="77777777" w:rsidR="009C1424" w:rsidRPr="0086255B" w:rsidRDefault="009C1424" w:rsidP="009C1424">
      <w:pPr>
        <w:spacing w:before="120" w:after="120"/>
        <w:jc w:val="both"/>
        <w:rPr>
          <w:rFonts w:cstheme="minorHAnsi"/>
          <w:i/>
          <w:iCs/>
          <w:noProof/>
        </w:rPr>
      </w:pPr>
      <w:r w:rsidRPr="0086255B">
        <w:rPr>
          <w:rFonts w:cstheme="minorHAnsi"/>
          <w:i/>
          <w:noProof/>
        </w:rPr>
        <w:t>Za unos podataka u ovom odjeljku vidjeti odjeljak 5 (tačke od 455 do 463) CEEAG-a.</w:t>
      </w:r>
    </w:p>
    <w:p w14:paraId="6592A59C"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1"/>
      </w:r>
      <w:r w:rsidRPr="0086255B">
        <w:rPr>
          <w:rFonts w:asciiTheme="minorHAnsi" w:hAnsiTheme="minorHAnsi" w:cstheme="minorHAnsi"/>
          <w:noProof/>
          <w:sz w:val="22"/>
        </w:rPr>
        <w:t>.</w:t>
      </w:r>
    </w:p>
    <w:p w14:paraId="45E838E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8DC9B1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2377828"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65098174" w14:textId="77777777" w:rsidR="009C1424" w:rsidRPr="0086255B" w:rsidRDefault="009C1424" w:rsidP="009C1424">
      <w:pPr>
        <w:pStyle w:val="Point1letter"/>
        <w:numPr>
          <w:ilvl w:val="3"/>
          <w:numId w:val="2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38B820B3"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ACB398A" w14:textId="77777777" w:rsidR="009C1424" w:rsidRPr="0086255B" w:rsidRDefault="009C1424" w:rsidP="009C1424">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316B13B0"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3DF1562" w14:textId="77777777" w:rsidR="009C1424" w:rsidRPr="0086255B" w:rsidRDefault="009C1424" w:rsidP="009C1424">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5044579F"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lastRenderedPageBreak/>
        <w:tab/>
      </w:r>
    </w:p>
    <w:p w14:paraId="68E254E3"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4DDF7868"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11B15DC"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572257DC"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B9182F0"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7859203A" w14:textId="77777777" w:rsidR="009C1424" w:rsidRPr="0086255B" w:rsidRDefault="009C1424" w:rsidP="009C1424">
      <w:pPr>
        <w:pStyle w:val="Point1letter"/>
        <w:numPr>
          <w:ilvl w:val="3"/>
          <w:numId w:val="2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0E36589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55F26F80" w14:textId="77777777" w:rsidR="009C1424" w:rsidRPr="0086255B" w:rsidRDefault="009C1424" w:rsidP="009C1424">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50AC73FD"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02EA9FBC" w14:textId="77777777" w:rsidR="009C1424" w:rsidRPr="0086255B" w:rsidRDefault="009C1424" w:rsidP="009C1424">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7DFE9535"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AAF0F03"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18DFC121" w14:textId="77777777" w:rsidR="009C1424" w:rsidRPr="0086255B" w:rsidRDefault="009C1424" w:rsidP="009C1424">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5B00DD10"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4B2D92FE"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2E6CEE7F" w14:textId="77777777" w:rsidR="009C1424" w:rsidRPr="0086255B" w:rsidRDefault="009C1424" w:rsidP="009C1424">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240637E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1D9B9AD9" w14:textId="77777777" w:rsidR="009C1424" w:rsidRPr="0086255B" w:rsidRDefault="009C1424" w:rsidP="009C1424">
      <w:pPr>
        <w:tabs>
          <w:tab w:val="left" w:leader="dot" w:pos="9072"/>
        </w:tabs>
        <w:spacing w:before="120" w:after="120"/>
        <w:jc w:val="both"/>
        <w:rPr>
          <w:rFonts w:cstheme="minorHAnsi"/>
          <w:noProof/>
        </w:rPr>
      </w:pPr>
      <w:r w:rsidRPr="0086255B">
        <w:rPr>
          <w:rFonts w:cstheme="minorHAnsi"/>
          <w:noProof/>
        </w:rPr>
        <w:tab/>
      </w:r>
    </w:p>
    <w:p w14:paraId="759028F5" w14:textId="77777777" w:rsidR="009C1424" w:rsidRPr="0086255B" w:rsidRDefault="009C1424" w:rsidP="009C1424">
      <w:pPr>
        <w:tabs>
          <w:tab w:val="left" w:leader="dot" w:pos="9072"/>
        </w:tabs>
        <w:spacing w:before="120" w:after="120"/>
        <w:jc w:val="both"/>
        <w:rPr>
          <w:rFonts w:cstheme="minorHAns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C1424" w:rsidRPr="0086255B" w14:paraId="6E3FA5DE" w14:textId="77777777" w:rsidTr="00D507D9">
        <w:tc>
          <w:tcPr>
            <w:tcW w:w="5000" w:type="pct"/>
            <w:shd w:val="pct15" w:color="auto" w:fill="auto"/>
          </w:tcPr>
          <w:p w14:paraId="36802CB3" w14:textId="77777777" w:rsidR="009C1424" w:rsidRPr="0086255B" w:rsidRDefault="009C1424"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1ACB237F" w14:textId="77777777" w:rsidR="009C1424" w:rsidRPr="0086255B" w:rsidRDefault="009C1424" w:rsidP="009C1424">
      <w:pPr>
        <w:spacing w:before="120" w:after="120"/>
        <w:jc w:val="both"/>
        <w:rPr>
          <w:rFonts w:cstheme="minorHAnsi"/>
          <w:i/>
          <w:iCs/>
          <w:noProof/>
        </w:rPr>
      </w:pPr>
      <w:r w:rsidRPr="0086255B">
        <w:rPr>
          <w:rFonts w:cstheme="minorHAnsi"/>
          <w:i/>
          <w:noProof/>
        </w:rPr>
        <w:t>Za unos podataka u ovom odjeljku vidjeti odjeljak 6 (tačke 464 i 465) CEEAG-a.</w:t>
      </w:r>
    </w:p>
    <w:p w14:paraId="7E1D7DB3" w14:textId="77777777" w:rsidR="009C1424" w:rsidRPr="0086255B" w:rsidRDefault="009C1424" w:rsidP="009C1424">
      <w:pPr>
        <w:pStyle w:val="NumPar1"/>
        <w:numPr>
          <w:ilvl w:val="0"/>
          <w:numId w:val="4"/>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2CBF2C85" w14:textId="77777777" w:rsidR="00AD3AA8" w:rsidRPr="0086255B" w:rsidRDefault="009C1424" w:rsidP="00AD3AA8">
      <w:pPr>
        <w:tabs>
          <w:tab w:val="left" w:leader="dot" w:pos="9072"/>
        </w:tabs>
        <w:spacing w:before="120" w:after="120"/>
        <w:jc w:val="both"/>
        <w:rPr>
          <w:rFonts w:cstheme="minorHAnsi"/>
          <w:noProof/>
        </w:rPr>
      </w:pPr>
      <w:r w:rsidRPr="0086255B">
        <w:rPr>
          <w:rFonts w:cstheme="minorHAnsi"/>
          <w:noProof/>
        </w:rPr>
        <w:lastRenderedPageBreak/>
        <w:tab/>
      </w:r>
      <w:r w:rsidR="00AD3AA8" w:rsidRPr="0086255B">
        <w:rPr>
          <w:rFonts w:cstheme="minorHAnsi"/>
          <w:noProof/>
        </w:rPr>
        <w:tab/>
      </w:r>
    </w:p>
    <w:p w14:paraId="3D1BC761" w14:textId="77777777" w:rsidR="00AD3AA8" w:rsidRPr="0086255B" w:rsidRDefault="00AD3AA8" w:rsidP="00AD3AA8">
      <w:pPr>
        <w:tabs>
          <w:tab w:val="left" w:leader="dot" w:pos="9072"/>
        </w:tabs>
        <w:spacing w:before="120" w:after="120"/>
        <w:jc w:val="both"/>
        <w:rPr>
          <w:rFonts w:cstheme="minorHAnsi"/>
          <w:noProof/>
        </w:rPr>
      </w:pPr>
      <w:r w:rsidRPr="0086255B">
        <w:rPr>
          <w:rFonts w:cstheme="minorHAnsi"/>
          <w:noProof/>
        </w:rPr>
        <w:tab/>
      </w:r>
    </w:p>
    <w:p w14:paraId="621A0760" w14:textId="4C6C2F91" w:rsidR="001E27D7" w:rsidRDefault="001E27D7" w:rsidP="009C1424">
      <w:bookmarkStart w:id="3" w:name="_GoBack"/>
      <w:bookmarkEnd w:id="3"/>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71EF" w14:textId="77777777" w:rsidR="007D1674" w:rsidRDefault="007D1674" w:rsidP="009C1424">
      <w:pPr>
        <w:spacing w:after="0" w:line="240" w:lineRule="auto"/>
      </w:pPr>
      <w:r>
        <w:separator/>
      </w:r>
    </w:p>
  </w:endnote>
  <w:endnote w:type="continuationSeparator" w:id="0">
    <w:p w14:paraId="0CA6885B" w14:textId="77777777" w:rsidR="007D1674" w:rsidRDefault="007D1674" w:rsidP="009C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DF8A9" w14:textId="77777777" w:rsidR="007D1674" w:rsidRDefault="007D1674" w:rsidP="009C1424">
      <w:pPr>
        <w:spacing w:after="0" w:line="240" w:lineRule="auto"/>
      </w:pPr>
      <w:r>
        <w:separator/>
      </w:r>
    </w:p>
  </w:footnote>
  <w:footnote w:type="continuationSeparator" w:id="0">
    <w:p w14:paraId="3174E173" w14:textId="77777777" w:rsidR="007D1674" w:rsidRDefault="007D1674" w:rsidP="009C1424">
      <w:pPr>
        <w:spacing w:after="0" w:line="240" w:lineRule="auto"/>
      </w:pPr>
      <w:r>
        <w:continuationSeparator/>
      </w:r>
    </w:p>
  </w:footnote>
  <w:footnote w:id="1">
    <w:p w14:paraId="6D69AB1C" w14:textId="77777777" w:rsidR="009C1424" w:rsidRPr="004E6EC5" w:rsidRDefault="009C1424" w:rsidP="009C1424">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sidRPr="001D3786">
        <w:rPr>
          <w:rFonts w:asciiTheme="minorHAnsi" w:hAnsiTheme="minorHAnsi" w:cstheme="minorHAnsi"/>
        </w:rPr>
        <w:tab/>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09D63E6C" w14:textId="77777777" w:rsidR="009C1424" w:rsidRPr="009960B4" w:rsidRDefault="009C1424" w:rsidP="009C1424">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7B25626A" w14:textId="77777777" w:rsidR="009C1424" w:rsidRPr="005C447E" w:rsidRDefault="009C1424" w:rsidP="009C1424">
      <w:pPr>
        <w:pStyle w:val="FootnoteText"/>
        <w:ind w:left="0" w:firstLine="0"/>
        <w:contextualSpacing/>
        <w:rPr>
          <w:rFonts w:asciiTheme="minorHAnsi" w:hAnsiTheme="minorHAnsi" w:cstheme="minorHAnsi"/>
        </w:rPr>
      </w:pPr>
      <w:r w:rsidRPr="005C447E">
        <w:rPr>
          <w:rStyle w:val="FootnoteReference"/>
          <w:rFonts w:asciiTheme="minorHAnsi" w:hAnsiTheme="minorHAnsi" w:cstheme="minorHAnsi"/>
        </w:rPr>
        <w:footnoteRef/>
      </w:r>
      <w:r>
        <w:rPr>
          <w:rFonts w:asciiTheme="minorHAnsi" w:hAnsiTheme="minorHAnsi" w:cstheme="minorHAnsi"/>
        </w:rPr>
        <w:tab/>
      </w:r>
      <w:proofErr w:type="spellStart"/>
      <w:r>
        <w:rPr>
          <w:rFonts w:asciiTheme="minorHAnsi" w:hAnsiTheme="minorHAnsi" w:cstheme="minorHAnsi"/>
        </w:rPr>
        <w:t>Napominjemo</w:t>
      </w:r>
      <w:proofErr w:type="spellEnd"/>
      <w:r>
        <w:rPr>
          <w:rFonts w:asciiTheme="minorHAnsi" w:hAnsiTheme="minorHAnsi" w:cstheme="minorHAnsi"/>
        </w:rPr>
        <w:t xml:space="preserve"> da </w:t>
      </w:r>
      <w:proofErr w:type="spellStart"/>
      <w:r>
        <w:rPr>
          <w:rFonts w:asciiTheme="minorHAnsi" w:hAnsiTheme="minorHAnsi" w:cstheme="minorHAnsi"/>
        </w:rPr>
        <w:t>tačke</w:t>
      </w:r>
      <w:proofErr w:type="spellEnd"/>
      <w:r>
        <w:rPr>
          <w:rFonts w:asciiTheme="minorHAnsi" w:hAnsiTheme="minorHAnsi" w:cstheme="minorHAnsi"/>
        </w:rPr>
        <w:t xml:space="preserve"> 38 i 52,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fusnote</w:t>
      </w:r>
      <w:proofErr w:type="spellEnd"/>
      <w:r>
        <w:rPr>
          <w:rFonts w:asciiTheme="minorHAnsi" w:hAnsiTheme="minorHAnsi" w:cstheme="minorHAnsi"/>
        </w:rPr>
        <w:t xml:space="preserve"> 39 i 45 CEEAG-a </w:t>
      </w:r>
      <w:proofErr w:type="spellStart"/>
      <w:r>
        <w:rPr>
          <w:rFonts w:asciiTheme="minorHAnsi" w:hAnsiTheme="minorHAnsi" w:cstheme="minorHAnsi"/>
        </w:rPr>
        <w:t>sadrže</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dodatne</w:t>
      </w:r>
      <w:proofErr w:type="spellEnd"/>
      <w:r>
        <w:rPr>
          <w:rFonts w:asciiTheme="minorHAnsi" w:hAnsiTheme="minorHAnsi" w:cstheme="minorHAnsi"/>
        </w:rPr>
        <w:t xml:space="preserve"> </w:t>
      </w:r>
      <w:proofErr w:type="spellStart"/>
      <w:r>
        <w:rPr>
          <w:rFonts w:asciiTheme="minorHAnsi" w:hAnsiTheme="minorHAnsi" w:cstheme="minorHAnsi"/>
        </w:rPr>
        <w:t>smjernice</w:t>
      </w:r>
      <w:proofErr w:type="spellEnd"/>
      <w:r>
        <w:rPr>
          <w:rFonts w:asciiTheme="minorHAnsi" w:hAnsiTheme="minorHAnsi" w:cstheme="minorHAnsi"/>
        </w:rPr>
        <w:t xml:space="preserve"> za </w:t>
      </w:r>
      <w:proofErr w:type="spellStart"/>
      <w:r>
        <w:rPr>
          <w:rFonts w:asciiTheme="minorHAnsi" w:hAnsiTheme="minorHAnsi" w:cstheme="minorHAnsi"/>
        </w:rPr>
        <w:t>utvrđivanje</w:t>
      </w:r>
      <w:proofErr w:type="spellEnd"/>
      <w:r>
        <w:rPr>
          <w:rFonts w:asciiTheme="minorHAnsi" w:hAnsiTheme="minorHAnsi" w:cstheme="minorHAnsi"/>
        </w:rPr>
        <w:t xml:space="preserve"> </w:t>
      </w:r>
      <w:proofErr w:type="spellStart"/>
      <w:r>
        <w:rPr>
          <w:rFonts w:asciiTheme="minorHAnsi" w:hAnsiTheme="minorHAnsi" w:cstheme="minorHAnsi"/>
        </w:rPr>
        <w:t>vjerov</w:t>
      </w:r>
      <w:r w:rsidRPr="005C447E">
        <w:rPr>
          <w:rFonts w:asciiTheme="minorHAnsi" w:hAnsiTheme="minorHAnsi" w:cstheme="minorHAnsi"/>
        </w:rPr>
        <w:t>atnog</w:t>
      </w:r>
      <w:proofErr w:type="spellEnd"/>
      <w:r w:rsidRPr="005C447E">
        <w:rPr>
          <w:rFonts w:asciiTheme="minorHAnsi" w:hAnsiTheme="minorHAnsi" w:cstheme="minorHAnsi"/>
        </w:rPr>
        <w:t xml:space="preserve"> </w:t>
      </w:r>
      <w:proofErr w:type="spellStart"/>
      <w:r>
        <w:rPr>
          <w:rFonts w:asciiTheme="minorHAnsi" w:hAnsiTheme="minorHAnsi" w:cstheme="minorHAnsi"/>
        </w:rPr>
        <w:t>uporednog</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scenarija</w:t>
      </w:r>
      <w:proofErr w:type="spellEnd"/>
      <w:r w:rsidRPr="005C447E">
        <w:rPr>
          <w:rFonts w:asciiTheme="minorHAnsi" w:hAnsiTheme="minorHAnsi" w:cstheme="minorHAnsi"/>
        </w:rPr>
        <w:t>.</w:t>
      </w:r>
    </w:p>
  </w:footnote>
  <w:footnote w:id="4">
    <w:p w14:paraId="643D6AA7" w14:textId="77777777" w:rsidR="009C1424" w:rsidRPr="00FB567D" w:rsidRDefault="009C1424" w:rsidP="009C1424">
      <w:pPr>
        <w:pStyle w:val="FootnoteText"/>
        <w:spacing w:before="0" w:after="0"/>
        <w:ind w:left="0" w:firstLine="0"/>
        <w:contextualSpacing/>
        <w:rPr>
          <w:rFonts w:asciiTheme="minorHAnsi" w:hAnsiTheme="minorHAnsi" w:cstheme="minorHAnsi"/>
          <w:lang w:val="sr-Latn-RS"/>
        </w:rPr>
      </w:pPr>
      <w:r w:rsidRPr="00FB567D">
        <w:rPr>
          <w:rStyle w:val="FootnoteReference"/>
          <w:rFonts w:asciiTheme="minorHAnsi" w:hAnsiTheme="minorHAnsi" w:cstheme="minorHAnsi"/>
        </w:rPr>
        <w:footnoteRef/>
      </w:r>
      <w:r w:rsidRPr="00FB567D">
        <w:rPr>
          <w:rFonts w:asciiTheme="minorHAnsi" w:hAnsiTheme="minorHAnsi" w:cstheme="minorHAnsi"/>
        </w:rPr>
        <w:t xml:space="preserve"> </w:t>
      </w:r>
      <w:r w:rsidRPr="00FB567D">
        <w:rPr>
          <w:rFonts w:asciiTheme="minorHAnsi" w:hAnsiTheme="minorHAnsi" w:cstheme="minorHAnsi"/>
        </w:rPr>
        <w:t>„</w:t>
      </w:r>
      <w:proofErr w:type="spellStart"/>
      <w:r w:rsidRPr="00FB567D">
        <w:rPr>
          <w:rFonts w:asciiTheme="minorHAnsi" w:hAnsiTheme="minorHAnsi" w:cstheme="minorHAnsi"/>
        </w:rPr>
        <w:t>Referentni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projekat</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definisan</w:t>
      </w:r>
      <w:proofErr w:type="spellEnd"/>
      <w:r w:rsidRPr="00FB567D">
        <w:rPr>
          <w:rFonts w:asciiTheme="minorHAnsi" w:hAnsiTheme="minorHAnsi" w:cstheme="minorHAnsi"/>
        </w:rPr>
        <w:t xml:space="preserve"> je u </w:t>
      </w:r>
      <w:proofErr w:type="spellStart"/>
      <w:r w:rsidRPr="00FB567D">
        <w:rPr>
          <w:rFonts w:asciiTheme="minorHAnsi" w:hAnsiTheme="minorHAnsi" w:cstheme="minorHAnsi"/>
        </w:rPr>
        <w:t>tački</w:t>
      </w:r>
      <w:proofErr w:type="spellEnd"/>
      <w:r w:rsidRPr="00FB567D">
        <w:rPr>
          <w:rFonts w:asciiTheme="minorHAnsi" w:hAnsiTheme="minorHAnsi" w:cstheme="minorHAnsi"/>
        </w:rPr>
        <w:t xml:space="preserve"> 19 </w:t>
      </w:r>
      <w:proofErr w:type="spellStart"/>
      <w:r w:rsidRPr="00FB567D">
        <w:rPr>
          <w:rFonts w:asciiTheme="minorHAnsi" w:hAnsiTheme="minorHAnsi" w:cstheme="minorHAnsi"/>
        </w:rPr>
        <w:t>podtačka</w:t>
      </w:r>
      <w:proofErr w:type="spellEnd"/>
      <w:r w:rsidRPr="00FB567D">
        <w:rPr>
          <w:rFonts w:asciiTheme="minorHAnsi" w:hAnsiTheme="minorHAnsi" w:cstheme="minorHAnsi"/>
        </w:rPr>
        <w:t xml:space="preserve"> 63 CEEAG-a.</w:t>
      </w:r>
    </w:p>
  </w:footnote>
  <w:footnote w:id="5">
    <w:p w14:paraId="2331631C" w14:textId="77777777" w:rsidR="009C1424" w:rsidRPr="00FB567D" w:rsidRDefault="009C1424" w:rsidP="009C1424">
      <w:pPr>
        <w:pStyle w:val="FootnoteText"/>
        <w:spacing w:before="0" w:after="0"/>
        <w:ind w:left="0" w:firstLine="0"/>
        <w:contextualSpacing/>
        <w:rPr>
          <w:rFonts w:asciiTheme="minorHAnsi" w:hAnsiTheme="minorHAnsi" w:cstheme="minorHAnsi"/>
        </w:rPr>
      </w:pPr>
      <w:r w:rsidRPr="00FB567D">
        <w:rPr>
          <w:rStyle w:val="FootnoteReference"/>
          <w:rFonts w:asciiTheme="minorHAnsi" w:hAnsiTheme="minorHAnsi"/>
        </w:rPr>
        <w:footnoteRef/>
      </w:r>
      <w:r w:rsidRPr="00FB567D">
        <w:rPr>
          <w:rFonts w:asciiTheme="minorHAnsi" w:hAnsiTheme="minorHAnsi"/>
        </w:rPr>
        <w:tab/>
      </w:r>
      <w:proofErr w:type="spellStart"/>
      <w:r w:rsidRPr="00FB567D">
        <w:rPr>
          <w:rFonts w:asciiTheme="minorHAnsi" w:hAnsiTheme="minorHAnsi" w:cstheme="minorHAnsi"/>
        </w:rPr>
        <w:t>Ako</w:t>
      </w:r>
      <w:proofErr w:type="spellEnd"/>
      <w:r w:rsidRPr="00FB567D">
        <w:rPr>
          <w:rFonts w:asciiTheme="minorHAnsi" w:hAnsiTheme="minorHAnsi" w:cstheme="minorHAnsi"/>
        </w:rPr>
        <w:t xml:space="preserve"> se </w:t>
      </w:r>
      <w:proofErr w:type="spellStart"/>
      <w:r w:rsidRPr="00FB567D">
        <w:rPr>
          <w:rFonts w:asciiTheme="minorHAnsi" w:hAnsiTheme="minorHAnsi" w:cstheme="minorHAnsi"/>
        </w:rPr>
        <w:t>oslanjate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nedavni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konkurentni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tenderski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postupak</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objasnite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kako</w:t>
      </w:r>
      <w:proofErr w:type="spellEnd"/>
      <w:r w:rsidRPr="00FB567D">
        <w:rPr>
          <w:rFonts w:asciiTheme="minorHAnsi" w:hAnsiTheme="minorHAnsi" w:cstheme="minorHAnsi"/>
        </w:rPr>
        <w:t xml:space="preserve"> se on </w:t>
      </w:r>
      <w:proofErr w:type="spellStart"/>
      <w:r w:rsidRPr="00FB567D">
        <w:rPr>
          <w:rFonts w:asciiTheme="minorHAnsi" w:hAnsiTheme="minorHAnsi" w:cstheme="minorHAnsi"/>
        </w:rPr>
        <w:t>može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smatrati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konkurentnim</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uključujući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način</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koji</w:t>
      </w:r>
      <w:proofErr w:type="spellEnd"/>
      <w:r w:rsidRPr="00FB567D">
        <w:rPr>
          <w:rFonts w:asciiTheme="minorHAnsi" w:hAnsiTheme="minorHAnsi" w:cstheme="minorHAnsi"/>
        </w:rPr>
        <w:t xml:space="preserve"> je </w:t>
      </w:r>
      <w:proofErr w:type="spellStart"/>
      <w:r w:rsidRPr="00FB567D">
        <w:rPr>
          <w:rFonts w:asciiTheme="minorHAnsi" w:hAnsiTheme="minorHAnsi" w:cstheme="minorHAnsi"/>
        </w:rPr>
        <w:t>izbjegnuta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nepredviđena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dobit</w:t>
      </w:r>
      <w:proofErr w:type="spellEnd"/>
      <w:r w:rsidRPr="00FB567D">
        <w:rPr>
          <w:rFonts w:asciiTheme="minorHAnsi" w:hAnsiTheme="minorHAnsi" w:cstheme="minorHAnsi"/>
        </w:rPr>
        <w:t xml:space="preserve"> za </w:t>
      </w:r>
      <w:proofErr w:type="spellStart"/>
      <w:r w:rsidRPr="00FB567D">
        <w:rPr>
          <w:rFonts w:asciiTheme="minorHAnsi" w:hAnsiTheme="minorHAnsi" w:cstheme="minorHAnsi"/>
        </w:rPr>
        <w:t>različite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tehnologije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uključene</w:t>
      </w:r>
      <w:proofErr w:type="spellEnd"/>
      <w:r w:rsidRPr="00FB567D">
        <w:rPr>
          <w:rFonts w:asciiTheme="minorHAnsi" w:hAnsiTheme="minorHAnsi" w:cstheme="minorHAnsi"/>
        </w:rPr>
        <w:t xml:space="preserve"> u </w:t>
      </w:r>
      <w:proofErr w:type="spellStart"/>
      <w:r w:rsidRPr="00FB567D">
        <w:rPr>
          <w:rFonts w:asciiTheme="minorHAnsi" w:hAnsiTheme="minorHAnsi" w:cstheme="minorHAnsi"/>
        </w:rPr>
        <w:t>njega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ako</w:t>
      </w:r>
      <w:proofErr w:type="spellEnd"/>
      <w:r w:rsidRPr="00FB567D">
        <w:rPr>
          <w:rFonts w:asciiTheme="minorHAnsi" w:hAnsiTheme="minorHAnsi" w:cstheme="minorHAnsi"/>
        </w:rPr>
        <w:t xml:space="preserve"> je </w:t>
      </w:r>
      <w:proofErr w:type="spellStart"/>
      <w:r w:rsidRPr="00FB567D">
        <w:rPr>
          <w:rFonts w:asciiTheme="minorHAnsi" w:hAnsiTheme="minorHAnsi" w:cstheme="minorHAnsi"/>
        </w:rPr>
        <w:t>primjenjivo</w:t>
      </w:r>
      <w:proofErr w:type="spellEnd"/>
      <w:r w:rsidRPr="00FB567D">
        <w:rPr>
          <w:rFonts w:asciiTheme="minorHAnsi" w:hAnsiTheme="minorHAnsi" w:cstheme="minorHAnsi"/>
        </w:rPr>
        <w:t xml:space="preserve">, i </w:t>
      </w:r>
      <w:proofErr w:type="spellStart"/>
      <w:r w:rsidRPr="00FB567D">
        <w:rPr>
          <w:rFonts w:asciiTheme="minorHAnsi" w:hAnsiTheme="minorHAnsi" w:cstheme="minorHAnsi"/>
        </w:rPr>
        <w:t>na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osnovu</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čega</w:t>
      </w:r>
      <w:proofErr w:type="spellEnd"/>
      <w:r w:rsidRPr="00FB567D">
        <w:rPr>
          <w:rFonts w:asciiTheme="minorHAnsi" w:hAnsiTheme="minorHAnsi" w:cstheme="minorHAnsi"/>
        </w:rPr>
        <w:t xml:space="preserve"> je </w:t>
      </w:r>
      <w:proofErr w:type="spellStart"/>
      <w:r w:rsidRPr="00FB567D">
        <w:rPr>
          <w:rFonts w:asciiTheme="minorHAnsi" w:hAnsiTheme="minorHAnsi" w:cstheme="minorHAnsi"/>
        </w:rPr>
        <w:t>uporediv</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primjer</w:t>
      </w:r>
      <w:proofErr w:type="spellEnd"/>
      <w:r w:rsidRPr="00FB567D">
        <w:rPr>
          <w:rFonts w:asciiTheme="minorHAnsi" w:hAnsiTheme="minorHAnsi" w:cstheme="minorHAnsi"/>
        </w:rPr>
        <w:t>:</w:t>
      </w:r>
    </w:p>
    <w:p w14:paraId="38B3E5DD" w14:textId="77777777" w:rsidR="009C1424" w:rsidRDefault="009C1424" w:rsidP="009C1424">
      <w:pPr>
        <w:pStyle w:val="FootnoteText"/>
        <w:numPr>
          <w:ilvl w:val="0"/>
          <w:numId w:val="13"/>
        </w:numPr>
        <w:spacing w:before="0" w:after="0"/>
        <w:ind w:left="720"/>
        <w:contextualSpacing/>
        <w:rPr>
          <w:rFonts w:asciiTheme="minorHAnsi" w:hAnsiTheme="minorHAnsi" w:cstheme="minorHAnsi"/>
        </w:rPr>
      </w:pPr>
      <w:r w:rsidRPr="00FB567D">
        <w:rPr>
          <w:rFonts w:asciiTheme="minorHAnsi" w:hAnsiTheme="minorHAnsi" w:cstheme="minorHAnsi"/>
        </w:rPr>
        <w:t xml:space="preserve">da li </w:t>
      </w:r>
      <w:proofErr w:type="spellStart"/>
      <w:r w:rsidRPr="00FB567D">
        <w:rPr>
          <w:rFonts w:asciiTheme="minorHAnsi" w:hAnsiTheme="minorHAnsi" w:cstheme="minorHAnsi"/>
        </w:rPr>
        <w:t>su</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uslovi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npr</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uslovi</w:t>
      </w:r>
      <w:proofErr w:type="spellEnd"/>
      <w:r w:rsidRPr="00FB567D">
        <w:rPr>
          <w:rFonts w:asciiTheme="minorHAnsi" w:hAnsiTheme="minorHAnsi" w:cstheme="minorHAnsi"/>
        </w:rPr>
        <w:t xml:space="preserve"> i </w:t>
      </w:r>
      <w:proofErr w:type="spellStart"/>
      <w:r w:rsidRPr="00FB567D">
        <w:rPr>
          <w:rFonts w:asciiTheme="minorHAnsi" w:hAnsiTheme="minorHAnsi" w:cstheme="minorHAnsi"/>
        </w:rPr>
        <w:t>trajanje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ugovora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rokovi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ulaganja</w:t>
      </w:r>
      <w:proofErr w:type="spellEnd"/>
      <w:r w:rsidRPr="00FB567D">
        <w:rPr>
          <w:rFonts w:asciiTheme="minorHAnsi" w:hAnsiTheme="minorHAnsi" w:cstheme="minorHAnsi"/>
        </w:rPr>
        <w:t xml:space="preserve">, da li </w:t>
      </w:r>
      <w:proofErr w:type="spellStart"/>
      <w:r w:rsidRPr="00FB567D">
        <w:rPr>
          <w:rFonts w:asciiTheme="minorHAnsi" w:hAnsiTheme="minorHAnsi" w:cstheme="minorHAnsi"/>
        </w:rPr>
        <w:t>su</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isplate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podrške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indeksirane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prema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inflaciji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slični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onima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predloženima</w:t>
      </w:r>
      <w:proofErr w:type="spellEnd"/>
      <w:r w:rsidRPr="00FB567D">
        <w:rPr>
          <w:rFonts w:asciiTheme="minorHAnsi" w:hAnsiTheme="minorHAnsi" w:cstheme="minorHAnsi"/>
        </w:rPr>
        <w:t xml:space="preserve"> u </w:t>
      </w:r>
      <w:proofErr w:type="spellStart"/>
      <w:r w:rsidRPr="00FB567D">
        <w:rPr>
          <w:rFonts w:asciiTheme="minorHAnsi" w:hAnsiTheme="minorHAnsi" w:cstheme="minorHAnsi"/>
        </w:rPr>
        <w:t>prijavljenoj</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mjeri</w:t>
      </w:r>
      <w:proofErr w:type="spellEnd"/>
      <w:r w:rsidRPr="00FB567D">
        <w:rPr>
          <w:rFonts w:asciiTheme="minorHAnsi" w:hAnsiTheme="minorHAnsi" w:cstheme="minorHAnsi"/>
        </w:rPr>
        <w:t>?</w:t>
      </w:r>
    </w:p>
    <w:p w14:paraId="68862E11" w14:textId="77777777" w:rsidR="009C1424" w:rsidRDefault="009C1424" w:rsidP="009C1424">
      <w:pPr>
        <w:pStyle w:val="FootnoteText"/>
        <w:numPr>
          <w:ilvl w:val="0"/>
          <w:numId w:val="13"/>
        </w:numPr>
        <w:spacing w:before="0" w:after="0"/>
        <w:ind w:left="720"/>
        <w:contextualSpacing/>
        <w:rPr>
          <w:rFonts w:asciiTheme="minorHAnsi" w:hAnsiTheme="minorHAnsi" w:cstheme="minorHAnsi"/>
        </w:rPr>
      </w:pPr>
      <w:r w:rsidRPr="00FB567D">
        <w:rPr>
          <w:rFonts w:asciiTheme="minorHAnsi" w:hAnsiTheme="minorHAnsi" w:cstheme="minorHAnsi"/>
        </w:rPr>
        <w:t xml:space="preserve">da li je </w:t>
      </w:r>
      <w:proofErr w:type="spellStart"/>
      <w:r w:rsidRPr="00FB567D">
        <w:rPr>
          <w:rFonts w:asciiTheme="minorHAnsi" w:hAnsiTheme="minorHAnsi" w:cstheme="minorHAnsi"/>
        </w:rPr>
        <w:t>konkurentni</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postupak</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sproveden</w:t>
      </w:r>
      <w:proofErr w:type="spellEnd"/>
      <w:r w:rsidRPr="00FB567D">
        <w:rPr>
          <w:rFonts w:asciiTheme="minorHAnsi" w:hAnsiTheme="minorHAnsi" w:cstheme="minorHAnsi"/>
        </w:rPr>
        <w:t xml:space="preserve"> u </w:t>
      </w:r>
      <w:proofErr w:type="spellStart"/>
      <w:r w:rsidRPr="00FB567D">
        <w:rPr>
          <w:rFonts w:asciiTheme="minorHAnsi" w:hAnsiTheme="minorHAnsi" w:cstheme="minorHAnsi"/>
        </w:rPr>
        <w:t>sličnim</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makroekonomskim</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uslovima</w:t>
      </w:r>
      <w:proofErr w:type="spellEnd"/>
      <w:r w:rsidRPr="00FB567D">
        <w:rPr>
          <w:rFonts w:asciiTheme="minorHAnsi" w:hAnsiTheme="minorHAnsi" w:cstheme="minorHAnsi"/>
        </w:rPr>
        <w:t>?</w:t>
      </w:r>
    </w:p>
    <w:p w14:paraId="7EA239C2" w14:textId="77777777" w:rsidR="009C1424" w:rsidRPr="00FB567D" w:rsidRDefault="009C1424" w:rsidP="009C1424">
      <w:pPr>
        <w:pStyle w:val="FootnoteText"/>
        <w:numPr>
          <w:ilvl w:val="0"/>
          <w:numId w:val="13"/>
        </w:numPr>
        <w:spacing w:before="0" w:after="0"/>
        <w:ind w:left="720"/>
        <w:contextualSpacing/>
        <w:rPr>
          <w:rFonts w:asciiTheme="minorHAnsi" w:hAnsiTheme="minorHAnsi" w:cstheme="minorHAnsi"/>
        </w:rPr>
      </w:pPr>
      <w:r w:rsidRPr="00FB567D">
        <w:rPr>
          <w:rFonts w:asciiTheme="minorHAnsi" w:hAnsiTheme="minorHAnsi" w:cstheme="minorHAnsi"/>
        </w:rPr>
        <w:t xml:space="preserve">da li </w:t>
      </w:r>
      <w:proofErr w:type="spellStart"/>
      <w:r w:rsidRPr="00FB567D">
        <w:rPr>
          <w:rFonts w:asciiTheme="minorHAnsi" w:hAnsiTheme="minorHAnsi" w:cstheme="minorHAnsi"/>
        </w:rPr>
        <w:t>su</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tehnologije</w:t>
      </w:r>
      <w:proofErr w:type="spellEnd"/>
      <w:r w:rsidRPr="00FB567D">
        <w:rPr>
          <w:rFonts w:asciiTheme="minorHAnsi" w:hAnsiTheme="minorHAnsi" w:cstheme="minorHAnsi"/>
        </w:rPr>
        <w:t xml:space="preserve"> / </w:t>
      </w:r>
      <w:proofErr w:type="spellStart"/>
      <w:r w:rsidRPr="00FB567D">
        <w:rPr>
          <w:rFonts w:asciiTheme="minorHAnsi" w:hAnsiTheme="minorHAnsi" w:cstheme="minorHAnsi"/>
        </w:rPr>
        <w:t>vrste</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projekata</w:t>
      </w:r>
      <w:proofErr w:type="spellEnd"/>
      <w:r w:rsidRPr="00FB567D">
        <w:rPr>
          <w:rFonts w:asciiTheme="minorHAnsi" w:hAnsiTheme="minorHAnsi" w:cstheme="minorHAnsi"/>
        </w:rPr>
        <w:t xml:space="preserve"> </w:t>
      </w:r>
      <w:proofErr w:type="spellStart"/>
      <w:r w:rsidRPr="00FB567D">
        <w:rPr>
          <w:rFonts w:asciiTheme="minorHAnsi" w:hAnsiTheme="minorHAnsi" w:cstheme="minorHAnsi"/>
        </w:rPr>
        <w:t>slične</w:t>
      </w:r>
      <w:proofErr w:type="spellEnd"/>
      <w:r w:rsidRPr="00FB567D">
        <w:rPr>
          <w:rFonts w:asciiTheme="minorHAnsi" w:hAnsiTheme="minorHAnsi" w:cstheme="minorHAnsi"/>
        </w:rPr>
        <w:t>?</w:t>
      </w:r>
    </w:p>
  </w:footnote>
  <w:footnote w:id="6">
    <w:p w14:paraId="308EC3C9" w14:textId="77777777" w:rsidR="009C1424" w:rsidRPr="00461FE3" w:rsidRDefault="009C1424" w:rsidP="009C1424">
      <w:pPr>
        <w:pStyle w:val="FootnoteText"/>
        <w:spacing w:before="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sidRPr="00461FE3">
        <w:rPr>
          <w:rFonts w:asciiTheme="minorHAnsi" w:hAnsiTheme="minorHAnsi" w:cstheme="minorHAnsi"/>
        </w:rPr>
        <w:tab/>
      </w:r>
      <w:r w:rsidRPr="00461FE3">
        <w:rPr>
          <w:rFonts w:asciiTheme="minorHAnsi" w:hAnsiTheme="minorHAnsi" w:cstheme="minorHAnsi"/>
        </w:rPr>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sidRPr="00461FE3">
        <w:rPr>
          <w:rFonts w:asciiTheme="minorHAnsi" w:hAnsiTheme="minorHAnsi" w:cstheme="minorHAnsi"/>
        </w:rPr>
        <w:t>:</w:t>
      </w:r>
    </w:p>
    <w:p w14:paraId="6FF9B6AE" w14:textId="77777777" w:rsidR="009C1424" w:rsidRDefault="009C1424" w:rsidP="009C1424">
      <w:pPr>
        <w:pStyle w:val="FootnoteText"/>
        <w:numPr>
          <w:ilvl w:val="0"/>
          <w:numId w:val="14"/>
        </w:numPr>
        <w:spacing w:before="0" w:after="0"/>
        <w:ind w:left="720"/>
        <w:contextualSpacing/>
        <w:rPr>
          <w:rFonts w:asciiTheme="minorHAnsi" w:hAnsiTheme="minorHAnsi" w:cstheme="minorHAnsi"/>
          <w:i/>
        </w:rPr>
      </w:pP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59E2280C" w14:textId="77777777" w:rsidR="009C1424" w:rsidRPr="00822041" w:rsidRDefault="009C1424" w:rsidP="009C1424">
      <w:pPr>
        <w:pStyle w:val="FootnoteText"/>
        <w:numPr>
          <w:ilvl w:val="0"/>
          <w:numId w:val="14"/>
        </w:numPr>
        <w:spacing w:before="0" w:after="0"/>
        <w:ind w:left="720"/>
        <w:contextualSpacing/>
        <w:rPr>
          <w:rFonts w:asciiTheme="minorHAnsi" w:hAnsiTheme="minorHAnsi" w:cstheme="minorHAnsi"/>
          <w:i/>
        </w:rPr>
      </w:pPr>
      <w:proofErr w:type="spellStart"/>
      <w:r w:rsidRPr="00822041">
        <w:rPr>
          <w:rFonts w:asciiTheme="minorHAnsi" w:hAnsiTheme="minorHAnsi" w:cstheme="minorHAnsi"/>
          <w:i/>
        </w:rPr>
        <w:t>obaveza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upotrebe</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najboljih</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raspoloživih</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tehnika</w:t>
      </w:r>
      <w:proofErr w:type="spellEnd"/>
      <w:r w:rsidRPr="00822041">
        <w:rPr>
          <w:rFonts w:asciiTheme="minorHAnsi" w:hAnsiTheme="minorHAnsi" w:cstheme="minorHAnsi"/>
          <w:i/>
        </w:rPr>
        <w:t xml:space="preserve"> (BAT), </w:t>
      </w:r>
      <w:proofErr w:type="spellStart"/>
      <w:r w:rsidRPr="00822041">
        <w:rPr>
          <w:rFonts w:asciiTheme="minorHAnsi" w:hAnsiTheme="minorHAnsi" w:cstheme="minorHAnsi"/>
          <w:i/>
        </w:rPr>
        <w:t>kako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su</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definisane</w:t>
      </w:r>
      <w:proofErr w:type="spellEnd"/>
      <w:r w:rsidRPr="00822041">
        <w:rPr>
          <w:rFonts w:asciiTheme="minorHAnsi" w:hAnsiTheme="minorHAnsi" w:cstheme="minorHAnsi"/>
          <w:i/>
        </w:rPr>
        <w:t xml:space="preserve"> u </w:t>
      </w:r>
      <w:proofErr w:type="spellStart"/>
      <w:r w:rsidRPr="00822041">
        <w:rPr>
          <w:rFonts w:asciiTheme="minorHAnsi" w:hAnsiTheme="minorHAnsi" w:cstheme="minorHAnsi"/>
          <w:i/>
        </w:rPr>
        <w:t>Direktivi</w:t>
      </w:r>
      <w:proofErr w:type="spellEnd"/>
      <w:r w:rsidRPr="00822041">
        <w:rPr>
          <w:rFonts w:asciiTheme="minorHAnsi" w:hAnsiTheme="minorHAnsi" w:cstheme="minorHAnsi"/>
          <w:i/>
        </w:rPr>
        <w:t xml:space="preserve"> 2010/75/EU, i </w:t>
      </w:r>
      <w:proofErr w:type="spellStart"/>
      <w:r w:rsidRPr="00822041">
        <w:rPr>
          <w:rFonts w:asciiTheme="minorHAnsi" w:hAnsiTheme="minorHAnsi" w:cstheme="minorHAnsi"/>
          <w:i/>
        </w:rPr>
        <w:t>osiguravanea</w:t>
      </w:r>
      <w:proofErr w:type="spellEnd"/>
      <w:r w:rsidRPr="00822041">
        <w:rPr>
          <w:rFonts w:asciiTheme="minorHAnsi" w:hAnsiTheme="minorHAnsi" w:cstheme="minorHAnsi"/>
          <w:i/>
        </w:rPr>
        <w:t xml:space="preserve"> da </w:t>
      </w:r>
      <w:proofErr w:type="spellStart"/>
      <w:r w:rsidRPr="00822041">
        <w:rPr>
          <w:rFonts w:asciiTheme="minorHAnsi" w:hAnsiTheme="minorHAnsi" w:cstheme="minorHAnsi"/>
          <w:i/>
        </w:rPr>
        <w:t>nivoi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emisija</w:t>
      </w:r>
      <w:proofErr w:type="spellEnd"/>
      <w:r w:rsidRPr="00822041">
        <w:rPr>
          <w:rFonts w:asciiTheme="minorHAnsi" w:hAnsiTheme="minorHAnsi" w:cstheme="minorHAnsi"/>
          <w:i/>
        </w:rPr>
        <w:t xml:space="preserve"> ne </w:t>
      </w:r>
      <w:proofErr w:type="spellStart"/>
      <w:r w:rsidRPr="00822041">
        <w:rPr>
          <w:rFonts w:asciiTheme="minorHAnsi" w:hAnsiTheme="minorHAnsi" w:cstheme="minorHAnsi"/>
          <w:i/>
        </w:rPr>
        <w:t>prelaze</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nivoe</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koji</w:t>
      </w:r>
      <w:proofErr w:type="spellEnd"/>
      <w:r w:rsidRPr="00822041">
        <w:rPr>
          <w:rFonts w:asciiTheme="minorHAnsi" w:hAnsiTheme="minorHAnsi" w:cstheme="minorHAnsi"/>
          <w:i/>
        </w:rPr>
        <w:t xml:space="preserve"> bi se </w:t>
      </w:r>
      <w:proofErr w:type="spellStart"/>
      <w:r w:rsidRPr="00822041">
        <w:rPr>
          <w:rFonts w:asciiTheme="minorHAnsi" w:hAnsiTheme="minorHAnsi" w:cstheme="minorHAnsi"/>
          <w:i/>
        </w:rPr>
        <w:t>postigli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uz</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primjenu</w:t>
      </w:r>
      <w:proofErr w:type="spellEnd"/>
      <w:r w:rsidRPr="00822041">
        <w:rPr>
          <w:rFonts w:asciiTheme="minorHAnsi" w:hAnsiTheme="minorHAnsi" w:cstheme="minorHAnsi"/>
          <w:i/>
        </w:rPr>
        <w:t xml:space="preserve"> BAT-a; </w:t>
      </w:r>
      <w:proofErr w:type="spellStart"/>
      <w:r w:rsidRPr="00822041">
        <w:rPr>
          <w:rFonts w:asciiTheme="minorHAnsi" w:hAnsiTheme="minorHAnsi" w:cstheme="minorHAnsi"/>
          <w:i/>
        </w:rPr>
        <w:t>ako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su</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nivoi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emisija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povezani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sa</w:t>
      </w:r>
      <w:proofErr w:type="spellEnd"/>
      <w:r w:rsidRPr="00822041">
        <w:rPr>
          <w:rFonts w:asciiTheme="minorHAnsi" w:hAnsiTheme="minorHAnsi" w:cstheme="minorHAnsi"/>
          <w:i/>
        </w:rPr>
        <w:t xml:space="preserve"> BAT-om </w:t>
      </w:r>
      <w:proofErr w:type="spellStart"/>
      <w:r w:rsidRPr="00822041">
        <w:rPr>
          <w:rFonts w:asciiTheme="minorHAnsi" w:hAnsiTheme="minorHAnsi" w:cstheme="minorHAnsi"/>
          <w:i/>
        </w:rPr>
        <w:t>utvrđeni</w:t>
      </w:r>
      <w:proofErr w:type="spellEnd"/>
      <w:r w:rsidRPr="00822041">
        <w:rPr>
          <w:rFonts w:asciiTheme="minorHAnsi" w:hAnsiTheme="minorHAnsi" w:cstheme="minorHAnsi"/>
          <w:i/>
        </w:rPr>
        <w:t xml:space="preserve"> u </w:t>
      </w:r>
      <w:proofErr w:type="spellStart"/>
      <w:r w:rsidRPr="00822041">
        <w:rPr>
          <w:rFonts w:asciiTheme="minorHAnsi" w:hAnsiTheme="minorHAnsi" w:cstheme="minorHAnsi"/>
          <w:i/>
        </w:rPr>
        <w:t>implementacionim</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aktima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donesenima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na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osnovu</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Direktive</w:t>
      </w:r>
      <w:proofErr w:type="spellEnd"/>
      <w:r w:rsidRPr="00822041">
        <w:rPr>
          <w:rFonts w:asciiTheme="minorHAnsi" w:hAnsiTheme="minorHAnsi" w:cstheme="minorHAnsi"/>
          <w:i/>
        </w:rPr>
        <w:t xml:space="preserve"> 2010/75/EU </w:t>
      </w:r>
      <w:proofErr w:type="spellStart"/>
      <w:r w:rsidRPr="00822041">
        <w:rPr>
          <w:rFonts w:asciiTheme="minorHAnsi" w:hAnsiTheme="minorHAnsi" w:cstheme="minorHAnsi"/>
          <w:i/>
        </w:rPr>
        <w:t>ili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drugih</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važećih</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direktiva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ti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nivoi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će</w:t>
      </w:r>
      <w:proofErr w:type="spellEnd"/>
      <w:r w:rsidRPr="00822041">
        <w:rPr>
          <w:rFonts w:asciiTheme="minorHAnsi" w:hAnsiTheme="minorHAnsi" w:cstheme="minorHAnsi"/>
          <w:i/>
        </w:rPr>
        <w:t xml:space="preserve"> se </w:t>
      </w:r>
      <w:proofErr w:type="spellStart"/>
      <w:r w:rsidRPr="00822041">
        <w:rPr>
          <w:rFonts w:asciiTheme="minorHAnsi" w:hAnsiTheme="minorHAnsi" w:cstheme="minorHAnsi"/>
          <w:i/>
        </w:rPr>
        <w:t>primjenjivati</w:t>
      </w:r>
      <w:proofErr w:type="spellEnd"/>
      <w:r w:rsidRPr="00822041">
        <w:rPr>
          <w:rFonts w:asciiTheme="minorHAnsi" w:hAnsiTheme="minorHAnsi" w:cstheme="minorHAnsi"/>
          <w:i/>
        </w:rPr>
        <w:t xml:space="preserve"> za </w:t>
      </w:r>
      <w:proofErr w:type="spellStart"/>
      <w:r w:rsidRPr="00822041">
        <w:rPr>
          <w:rFonts w:asciiTheme="minorHAnsi" w:hAnsiTheme="minorHAnsi" w:cstheme="minorHAnsi"/>
          <w:i/>
        </w:rPr>
        <w:t>potrebe</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ovih</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Smjernica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ako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su</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ti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nivoi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izraženi</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kao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raspon</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primjenjivaće</w:t>
      </w:r>
      <w:proofErr w:type="spellEnd"/>
      <w:r w:rsidRPr="00822041">
        <w:rPr>
          <w:rFonts w:asciiTheme="minorHAnsi" w:hAnsiTheme="minorHAnsi" w:cstheme="minorHAnsi"/>
          <w:i/>
        </w:rPr>
        <w:t xml:space="preserve"> se </w:t>
      </w:r>
      <w:proofErr w:type="spellStart"/>
      <w:r w:rsidRPr="00822041">
        <w:rPr>
          <w:rFonts w:asciiTheme="minorHAnsi" w:hAnsiTheme="minorHAnsi" w:cstheme="minorHAnsi"/>
          <w:i/>
        </w:rPr>
        <w:t>granična</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vrijednost</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koju</w:t>
      </w:r>
      <w:proofErr w:type="spellEnd"/>
      <w:r w:rsidRPr="00822041">
        <w:rPr>
          <w:rFonts w:asciiTheme="minorHAnsi" w:hAnsiTheme="minorHAnsi" w:cstheme="minorHAnsi"/>
          <w:i/>
        </w:rPr>
        <w:t xml:space="preserve"> je BAT </w:t>
      </w:r>
      <w:proofErr w:type="spellStart"/>
      <w:r w:rsidRPr="00822041">
        <w:rPr>
          <w:rFonts w:asciiTheme="minorHAnsi" w:hAnsiTheme="minorHAnsi" w:cstheme="minorHAnsi"/>
          <w:i/>
        </w:rPr>
        <w:t>prvo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postigla</w:t>
      </w:r>
      <w:proofErr w:type="spellEnd"/>
      <w:r w:rsidRPr="00822041">
        <w:rPr>
          <w:rFonts w:asciiTheme="minorHAnsi" w:hAnsiTheme="minorHAnsi" w:cstheme="minorHAnsi"/>
          <w:i/>
        </w:rPr>
        <w:t xml:space="preserve"> za </w:t>
      </w:r>
      <w:proofErr w:type="spellStart"/>
      <w:r w:rsidRPr="00822041">
        <w:rPr>
          <w:rFonts w:asciiTheme="minorHAnsi" w:hAnsiTheme="minorHAnsi" w:cstheme="minorHAnsi"/>
          <w:i/>
        </w:rPr>
        <w:t>predmetno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privredno</w:t>
      </w:r>
      <w:proofErr w:type="spellEnd"/>
      <w:r w:rsidRPr="00822041">
        <w:rPr>
          <w:rFonts w:asciiTheme="minorHAnsi" w:hAnsiTheme="minorHAnsi" w:cstheme="minorHAnsi"/>
          <w:i/>
        </w:rPr>
        <w:t xml:space="preserve"> </w:t>
      </w:r>
      <w:proofErr w:type="spellStart"/>
      <w:r w:rsidRPr="00822041">
        <w:rPr>
          <w:rFonts w:asciiTheme="minorHAnsi" w:hAnsiTheme="minorHAnsi" w:cstheme="minorHAnsi"/>
          <w:i/>
        </w:rPr>
        <w:t>društvo</w:t>
      </w:r>
      <w:proofErr w:type="spellEnd"/>
      <w:r w:rsidRPr="00822041">
        <w:rPr>
          <w:rFonts w:asciiTheme="minorHAnsi" w:hAnsiTheme="minorHAnsi" w:cstheme="minorHAnsi"/>
          <w:i/>
        </w:rPr>
        <w:t>”.</w:t>
      </w:r>
    </w:p>
  </w:footnote>
  <w:footnote w:id="7">
    <w:p w14:paraId="5427317F" w14:textId="77777777" w:rsidR="009C1424" w:rsidRPr="00DA109E" w:rsidRDefault="009C1424" w:rsidP="009C1424">
      <w:pPr>
        <w:pStyle w:val="FootnoteText"/>
        <w:spacing w:before="0"/>
        <w:ind w:left="0" w:firstLine="0"/>
        <w:rPr>
          <w:rFonts w:asciiTheme="minorHAnsi" w:hAnsiTheme="minorHAnsi" w:cstheme="minorHAnsi"/>
        </w:rPr>
      </w:pPr>
      <w:r w:rsidRPr="00DA109E">
        <w:rPr>
          <w:rStyle w:val="FootnoteReference"/>
          <w:rFonts w:asciiTheme="minorHAnsi" w:hAnsiTheme="minorHAnsi" w:cstheme="minorHAnsi"/>
        </w:rPr>
        <w:footnoteRef/>
      </w:r>
      <w:r w:rsidRPr="00DA109E">
        <w:rPr>
          <w:rFonts w:asciiTheme="minorHAnsi" w:hAnsiTheme="minorHAnsi" w:cstheme="minorHAnsi"/>
        </w:rPr>
        <w:tab/>
      </w:r>
      <w:proofErr w:type="spellStart"/>
      <w:r w:rsidRPr="00DA109E">
        <w:rPr>
          <w:rFonts w:asciiTheme="minorHAnsi" w:hAnsiTheme="minorHAnsi" w:cstheme="minorHAnsi"/>
        </w:rPr>
        <w:t>Vidjeti</w:t>
      </w:r>
      <w:proofErr w:type="spellEnd"/>
      <w:r w:rsidRPr="00DA109E">
        <w:rPr>
          <w:rFonts w:asciiTheme="minorHAnsi" w:hAnsiTheme="minorHAnsi" w:cstheme="minorHAnsi"/>
        </w:rPr>
        <w:t xml:space="preserve"> i </w:t>
      </w:r>
      <w:proofErr w:type="spellStart"/>
      <w:r w:rsidRPr="00DA109E">
        <w:rPr>
          <w:rFonts w:asciiTheme="minorHAnsi" w:hAnsiTheme="minorHAnsi" w:cstheme="minorHAnsi"/>
        </w:rPr>
        <w:t>dodatne</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informacije</w:t>
      </w:r>
      <w:proofErr w:type="spellEnd"/>
      <w:r w:rsidRPr="00DA109E">
        <w:rPr>
          <w:rFonts w:asciiTheme="minorHAnsi" w:hAnsiTheme="minorHAnsi" w:cstheme="minorHAnsi"/>
        </w:rPr>
        <w:t xml:space="preserve"> u </w:t>
      </w:r>
      <w:proofErr w:type="spellStart"/>
      <w:r w:rsidRPr="00DA109E">
        <w:rPr>
          <w:rFonts w:asciiTheme="minorHAnsi" w:hAnsiTheme="minorHAnsi" w:cstheme="minorHAnsi"/>
        </w:rPr>
        <w:t>t</w:t>
      </w:r>
      <w:r>
        <w:rPr>
          <w:rFonts w:asciiTheme="minorHAnsi" w:hAnsiTheme="minorHAnsi" w:cstheme="minorHAnsi"/>
        </w:rPr>
        <w:t>a</w:t>
      </w:r>
      <w:r w:rsidRPr="00DA109E">
        <w:rPr>
          <w:rFonts w:asciiTheme="minorHAnsi" w:hAnsiTheme="minorHAnsi" w:cstheme="minorHAnsi"/>
        </w:rPr>
        <w:t>čkama</w:t>
      </w:r>
      <w:proofErr w:type="spellEnd"/>
      <w:r w:rsidRPr="00DA109E">
        <w:rPr>
          <w:rFonts w:asciiTheme="minorHAnsi" w:hAnsiTheme="minorHAnsi" w:cstheme="minorHAnsi"/>
        </w:rPr>
        <w:t xml:space="preserve"> od 51 do 53 i 165 do 167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fusnotama</w:t>
      </w:r>
      <w:proofErr w:type="spellEnd"/>
      <w:r w:rsidRPr="00DA109E">
        <w:rPr>
          <w:rFonts w:asciiTheme="minorHAnsi" w:hAnsiTheme="minorHAnsi" w:cstheme="minorHAnsi"/>
        </w:rPr>
        <w:t xml:space="preserve"> 45 i 46</w:t>
      </w:r>
      <w:r>
        <w:rPr>
          <w:rFonts w:asciiTheme="minorHAnsi" w:hAnsiTheme="minorHAnsi" w:cstheme="minorHAnsi"/>
        </w:rPr>
        <w:t xml:space="preserve"> </w:t>
      </w:r>
      <w:r w:rsidRPr="00DA109E">
        <w:rPr>
          <w:rFonts w:asciiTheme="minorHAnsi" w:hAnsiTheme="minorHAnsi" w:cstheme="minorHAnsi"/>
        </w:rPr>
        <w:t>CEEAG-a.</w:t>
      </w:r>
    </w:p>
  </w:footnote>
  <w:footnote w:id="8">
    <w:p w14:paraId="7EA2A681" w14:textId="77777777" w:rsidR="009C1424" w:rsidRPr="00DA109E" w:rsidRDefault="009C1424" w:rsidP="009C1424">
      <w:pPr>
        <w:pStyle w:val="FootnoteText"/>
        <w:spacing w:before="0"/>
        <w:ind w:left="0" w:firstLine="0"/>
        <w:rPr>
          <w:rFonts w:asciiTheme="minorHAnsi" w:hAnsiTheme="minorHAnsi" w:cstheme="minorHAnsi"/>
        </w:rPr>
      </w:pPr>
      <w:r w:rsidRPr="00DA109E">
        <w:rPr>
          <w:rStyle w:val="FootnoteReference"/>
          <w:rFonts w:asciiTheme="minorHAnsi" w:hAnsiTheme="minorHAnsi" w:cstheme="minorHAnsi"/>
        </w:rPr>
        <w:footnoteRef/>
      </w:r>
      <w:r w:rsidRPr="00DA109E">
        <w:rPr>
          <w:rFonts w:asciiTheme="minorHAnsi" w:hAnsiTheme="minorHAnsi" w:cstheme="minorHAnsi"/>
        </w:rPr>
        <w:tab/>
      </w:r>
      <w:r w:rsidRPr="00DA109E">
        <w:rPr>
          <w:rFonts w:asciiTheme="minorHAnsi" w:hAnsiTheme="minorHAnsi" w:cstheme="minorHAnsi"/>
        </w:rPr>
        <w:t xml:space="preserve">U tom </w:t>
      </w:r>
      <w:proofErr w:type="spellStart"/>
      <w:r w:rsidRPr="00DA109E">
        <w:rPr>
          <w:rFonts w:asciiTheme="minorHAnsi" w:hAnsiTheme="minorHAnsi" w:cstheme="minorHAnsi"/>
        </w:rPr>
        <w:t>slučaju</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prema</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t</w:t>
      </w:r>
      <w:r>
        <w:rPr>
          <w:rFonts w:asciiTheme="minorHAnsi" w:hAnsiTheme="minorHAnsi" w:cstheme="minorHAnsi"/>
        </w:rPr>
        <w:t>a</w:t>
      </w:r>
      <w:r w:rsidRPr="00DA109E">
        <w:rPr>
          <w:rFonts w:asciiTheme="minorHAnsi" w:hAnsiTheme="minorHAnsi" w:cstheme="minorHAnsi"/>
        </w:rPr>
        <w:t>čki</w:t>
      </w:r>
      <w:proofErr w:type="spellEnd"/>
      <w:r w:rsidRPr="00DA109E">
        <w:rPr>
          <w:rFonts w:asciiTheme="minorHAnsi" w:hAnsiTheme="minorHAnsi" w:cstheme="minorHAnsi"/>
        </w:rPr>
        <w:t xml:space="preserve"> 52 CEEAG-a, „</w:t>
      </w:r>
      <w:proofErr w:type="spellStart"/>
      <w:r w:rsidRPr="00DA109E">
        <w:rPr>
          <w:rFonts w:asciiTheme="minorHAnsi" w:hAnsiTheme="minorHAnsi" w:cstheme="minorHAnsi"/>
        </w:rPr>
        <w:t>neto</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dodatni</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trošak</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može</w:t>
      </w:r>
      <w:proofErr w:type="spellEnd"/>
      <w:r w:rsidRPr="00DA109E">
        <w:rPr>
          <w:rFonts w:asciiTheme="minorHAnsi" w:hAnsiTheme="minorHAnsi" w:cstheme="minorHAnsi"/>
        </w:rPr>
        <w:t xml:space="preserve"> se </w:t>
      </w:r>
      <w:proofErr w:type="spellStart"/>
      <w:r w:rsidRPr="00DA109E">
        <w:rPr>
          <w:rFonts w:asciiTheme="minorHAnsi" w:hAnsiTheme="minorHAnsi" w:cstheme="minorHAnsi"/>
        </w:rPr>
        <w:t>približno</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odrediti</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na</w:t>
      </w:r>
      <w:proofErr w:type="spellEnd"/>
      <w:r w:rsidRPr="00DA109E">
        <w:rPr>
          <w:rFonts w:asciiTheme="minorHAnsi" w:hAnsiTheme="minorHAnsi" w:cstheme="minorHAnsi"/>
        </w:rPr>
        <w:t xml:space="preserve"> </w:t>
      </w:r>
      <w:proofErr w:type="spellStart"/>
      <w:r>
        <w:rPr>
          <w:rFonts w:asciiTheme="minorHAnsi" w:hAnsiTheme="minorHAnsi" w:cstheme="minorHAnsi"/>
        </w:rPr>
        <w:t>osnovu</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neto</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sadašnje</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vrijednosti</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projekta</w:t>
      </w:r>
      <w:proofErr w:type="spellEnd"/>
      <w:r w:rsidRPr="00DA109E">
        <w:rPr>
          <w:rFonts w:asciiTheme="minorHAnsi" w:hAnsiTheme="minorHAnsi" w:cstheme="minorHAnsi"/>
        </w:rPr>
        <w:t xml:space="preserve"> u </w:t>
      </w:r>
      <w:proofErr w:type="spellStart"/>
      <w:r w:rsidRPr="00DA109E">
        <w:rPr>
          <w:rFonts w:asciiTheme="minorHAnsi" w:hAnsiTheme="minorHAnsi" w:cstheme="minorHAnsi"/>
        </w:rPr>
        <w:t>činjeničnom</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scenariju</w:t>
      </w:r>
      <w:proofErr w:type="spellEnd"/>
      <w:r w:rsidRPr="00DA109E">
        <w:rPr>
          <w:rFonts w:asciiTheme="minorHAnsi" w:hAnsiTheme="minorHAnsi" w:cstheme="minorHAnsi"/>
        </w:rPr>
        <w:t xml:space="preserve"> bez </w:t>
      </w:r>
      <w:proofErr w:type="spellStart"/>
      <w:r w:rsidRPr="00DA109E">
        <w:rPr>
          <w:rFonts w:asciiTheme="minorHAnsi" w:hAnsiTheme="minorHAnsi" w:cstheme="minorHAnsi"/>
        </w:rPr>
        <w:t>po</w:t>
      </w:r>
      <w:r>
        <w:rPr>
          <w:rFonts w:asciiTheme="minorHAnsi" w:hAnsiTheme="minorHAnsi" w:cstheme="minorHAnsi"/>
        </w:rPr>
        <w:t>moći</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t</w:t>
      </w:r>
      <w:r>
        <w:rPr>
          <w:rFonts w:asciiTheme="minorHAnsi" w:hAnsiTheme="minorHAnsi" w:cstheme="minorHAnsi"/>
        </w:rPr>
        <w:t>o</w:t>
      </w:r>
      <w:r w:rsidRPr="00DA109E">
        <w:rPr>
          <w:rFonts w:asciiTheme="minorHAnsi" w:hAnsiTheme="minorHAnsi" w:cstheme="minorHAnsi"/>
        </w:rPr>
        <w:t>kom</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trajanja</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projekta</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čime</w:t>
      </w:r>
      <w:proofErr w:type="spellEnd"/>
      <w:r w:rsidRPr="00DA109E">
        <w:rPr>
          <w:rFonts w:asciiTheme="minorHAnsi" w:hAnsiTheme="minorHAnsi" w:cstheme="minorHAnsi"/>
        </w:rPr>
        <w:t xml:space="preserve"> se </w:t>
      </w:r>
      <w:proofErr w:type="spellStart"/>
      <w:r w:rsidRPr="00DA109E">
        <w:rPr>
          <w:rFonts w:asciiTheme="minorHAnsi" w:hAnsiTheme="minorHAnsi" w:cstheme="minorHAnsi"/>
        </w:rPr>
        <w:t>implicitno</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pretpostavlja</w:t>
      </w:r>
      <w:proofErr w:type="spellEnd"/>
      <w:r w:rsidRPr="00DA109E">
        <w:rPr>
          <w:rFonts w:asciiTheme="minorHAnsi" w:hAnsiTheme="minorHAnsi" w:cstheme="minorHAnsi"/>
        </w:rPr>
        <w:t xml:space="preserve"> da je </w:t>
      </w:r>
      <w:proofErr w:type="spellStart"/>
      <w:r w:rsidRPr="00DA109E">
        <w:rPr>
          <w:rFonts w:asciiTheme="minorHAnsi" w:hAnsiTheme="minorHAnsi" w:cstheme="minorHAnsi"/>
        </w:rPr>
        <w:t>neto</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sadašnja</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vrijednost</w:t>
      </w:r>
      <w:proofErr w:type="spellEnd"/>
      <w:r w:rsidRPr="00DA109E">
        <w:rPr>
          <w:rFonts w:asciiTheme="minorHAnsi" w:hAnsiTheme="minorHAnsi" w:cstheme="minorHAnsi"/>
        </w:rPr>
        <w:t xml:space="preserve"> </w:t>
      </w:r>
      <w:proofErr w:type="spellStart"/>
      <w:r>
        <w:rPr>
          <w:rFonts w:asciiTheme="minorHAnsi" w:hAnsiTheme="minorHAnsi" w:cstheme="minorHAnsi"/>
        </w:rPr>
        <w:t>uporednog</w:t>
      </w:r>
      <w:proofErr w:type="spellEnd"/>
      <w:r>
        <w:rPr>
          <w:rFonts w:asciiTheme="minorHAnsi" w:hAnsiTheme="minorHAnsi" w:cstheme="minorHAnsi"/>
        </w:rPr>
        <w:t xml:space="preserve"> </w:t>
      </w:r>
      <w:proofErr w:type="spellStart"/>
      <w:r w:rsidRPr="00DA109E">
        <w:rPr>
          <w:rFonts w:asciiTheme="minorHAnsi" w:hAnsiTheme="minorHAnsi" w:cstheme="minorHAnsi"/>
        </w:rPr>
        <w:t>scenarija</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jednaka</w:t>
      </w:r>
      <w:proofErr w:type="spellEnd"/>
      <w:r w:rsidRPr="00DA109E">
        <w:rPr>
          <w:rFonts w:asciiTheme="minorHAnsi" w:hAnsiTheme="minorHAnsi" w:cstheme="minorHAnsi"/>
        </w:rPr>
        <w:t xml:space="preserve"> </w:t>
      </w:r>
      <w:proofErr w:type="spellStart"/>
      <w:r w:rsidRPr="00DA109E">
        <w:rPr>
          <w:rFonts w:asciiTheme="minorHAnsi" w:hAnsiTheme="minorHAnsi" w:cstheme="minorHAnsi"/>
        </w:rPr>
        <w:t>nuli</w:t>
      </w:r>
      <w:proofErr w:type="spellEnd"/>
      <w:r w:rsidRPr="00DA109E">
        <w:rPr>
          <w:rFonts w:asciiTheme="minorHAnsi" w:hAnsiTheme="minorHAnsi" w:cstheme="minorHAnsi"/>
        </w:rPr>
        <w:t>)”</w:t>
      </w:r>
      <w:r w:rsidRPr="00DA109E">
        <w:rPr>
          <w:rFonts w:asciiTheme="minorHAnsi" w:hAnsiTheme="minorHAnsi" w:cstheme="minorHAnsi"/>
          <w:shd w:val="clear" w:color="auto" w:fill="FFFFFF"/>
        </w:rPr>
        <w:t>.</w:t>
      </w:r>
    </w:p>
  </w:footnote>
  <w:footnote w:id="9">
    <w:p w14:paraId="40DAAD1B" w14:textId="77777777" w:rsidR="009C1424" w:rsidRPr="00746E88" w:rsidRDefault="009C1424" w:rsidP="009C1424">
      <w:pPr>
        <w:pStyle w:val="FootnoteText"/>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sidRPr="00746E88">
        <w:rPr>
          <w:rFonts w:asciiTheme="minorHAnsi" w:hAnsiTheme="minorHAnsi" w:cstheme="minorHAnsi"/>
        </w:rPr>
        <w:tab/>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10">
    <w:p w14:paraId="202FC398" w14:textId="77777777" w:rsidR="009C1424" w:rsidRPr="003429B4" w:rsidRDefault="009C1424" w:rsidP="009C1424">
      <w:pPr>
        <w:pStyle w:val="FootnoteText"/>
        <w:spacing w:before="0"/>
        <w:ind w:left="0" w:firstLine="0"/>
        <w:rPr>
          <w:rFonts w:asciiTheme="minorHAnsi" w:hAnsiTheme="minorHAnsi" w:cstheme="minorHAnsi"/>
        </w:rPr>
      </w:pPr>
      <w:r w:rsidRPr="003429B4">
        <w:rPr>
          <w:rStyle w:val="FootnoteReference"/>
          <w:rFonts w:asciiTheme="minorHAnsi" w:hAnsiTheme="minorHAnsi" w:cstheme="minorHAnsi"/>
        </w:rPr>
        <w:footnoteRef/>
      </w:r>
      <w:r>
        <w:rPr>
          <w:rFonts w:asciiTheme="minorHAnsi" w:hAnsiTheme="minorHAnsi" w:cstheme="minorHAnsi"/>
        </w:rPr>
        <w:tab/>
      </w:r>
      <w:proofErr w:type="spellStart"/>
      <w:r>
        <w:rPr>
          <w:rFonts w:asciiTheme="minorHAnsi" w:hAnsiTheme="minorHAnsi" w:cstheme="minorHAnsi"/>
        </w:rPr>
        <w:t>Regulativa</w:t>
      </w:r>
      <w:proofErr w:type="spellEnd"/>
      <w:r w:rsidRPr="003429B4">
        <w:rPr>
          <w:rFonts w:asciiTheme="minorHAnsi" w:hAnsiTheme="minorHAnsi" w:cstheme="minorHAnsi"/>
        </w:rPr>
        <w:t xml:space="preserve"> (EU) 2020/8</w:t>
      </w:r>
      <w:r>
        <w:rPr>
          <w:rFonts w:asciiTheme="minorHAnsi" w:hAnsiTheme="minorHAnsi" w:cstheme="minorHAnsi"/>
        </w:rPr>
        <w:t xml:space="preserve">52 </w:t>
      </w:r>
      <w:proofErr w:type="spellStart"/>
      <w:r>
        <w:rPr>
          <w:rFonts w:asciiTheme="minorHAnsi" w:hAnsiTheme="minorHAnsi" w:cstheme="minorHAnsi"/>
        </w:rPr>
        <w:t>Ev</w:t>
      </w:r>
      <w:r w:rsidRPr="003429B4">
        <w:rPr>
          <w:rFonts w:asciiTheme="minorHAnsi" w:hAnsiTheme="minorHAnsi" w:cstheme="minorHAnsi"/>
        </w:rPr>
        <w:t>ropskog</w:t>
      </w:r>
      <w:proofErr w:type="spellEnd"/>
      <w:r w:rsidRPr="003429B4">
        <w:rPr>
          <w:rFonts w:asciiTheme="minorHAnsi" w:hAnsiTheme="minorHAnsi" w:cstheme="minorHAnsi"/>
        </w:rPr>
        <w:t xml:space="preserve"> </w:t>
      </w:r>
      <w:proofErr w:type="spellStart"/>
      <w:r w:rsidRPr="003429B4">
        <w:rPr>
          <w:rFonts w:asciiTheme="minorHAnsi" w:hAnsiTheme="minorHAnsi" w:cstheme="minorHAnsi"/>
        </w:rPr>
        <w:t>parlamenta</w:t>
      </w:r>
      <w:proofErr w:type="spellEnd"/>
      <w:r w:rsidRPr="003429B4">
        <w:rPr>
          <w:rFonts w:asciiTheme="minorHAnsi" w:hAnsiTheme="minorHAnsi" w:cstheme="minorHAnsi"/>
        </w:rPr>
        <w:t xml:space="preserve"> i </w:t>
      </w:r>
      <w:proofErr w:type="spellStart"/>
      <w:r w:rsidRPr="003429B4">
        <w:rPr>
          <w:rFonts w:asciiTheme="minorHAnsi" w:hAnsiTheme="minorHAnsi" w:cstheme="minorHAnsi"/>
        </w:rPr>
        <w:t>Savjeta</w:t>
      </w:r>
      <w:proofErr w:type="spellEnd"/>
      <w:r>
        <w:rPr>
          <w:rFonts w:asciiTheme="minorHAnsi" w:hAnsiTheme="minorHAnsi" w:cstheme="minorHAnsi"/>
        </w:rPr>
        <w:t xml:space="preserve"> od 18. </w:t>
      </w:r>
      <w:proofErr w:type="spellStart"/>
      <w:r>
        <w:rPr>
          <w:rFonts w:asciiTheme="minorHAnsi" w:hAnsiTheme="minorHAnsi" w:cstheme="minorHAnsi"/>
        </w:rPr>
        <w:t>juna</w:t>
      </w:r>
      <w:proofErr w:type="spellEnd"/>
      <w:r w:rsidRPr="003429B4">
        <w:rPr>
          <w:rFonts w:asciiTheme="minorHAnsi" w:hAnsiTheme="minorHAnsi" w:cstheme="minorHAnsi"/>
        </w:rPr>
        <w:t> 2020.</w:t>
      </w:r>
      <w:r>
        <w:rPr>
          <w:rFonts w:asciiTheme="minorHAnsi" w:hAnsiTheme="minorHAnsi" w:cstheme="minorHAnsi"/>
        </w:rPr>
        <w:t xml:space="preserve"> </w:t>
      </w:r>
      <w:proofErr w:type="spellStart"/>
      <w:r>
        <w:rPr>
          <w:rFonts w:asciiTheme="minorHAnsi" w:hAnsiTheme="minorHAnsi" w:cstheme="minorHAnsi"/>
        </w:rPr>
        <w:t>godine</w:t>
      </w:r>
      <w:proofErr w:type="spellEnd"/>
      <w:r>
        <w:rPr>
          <w:rFonts w:asciiTheme="minorHAnsi" w:hAnsiTheme="minorHAnsi" w:cstheme="minorHAnsi"/>
        </w:rPr>
        <w:t xml:space="preserve"> o </w:t>
      </w:r>
      <w:proofErr w:type="spellStart"/>
      <w:r>
        <w:rPr>
          <w:rFonts w:asciiTheme="minorHAnsi" w:hAnsiTheme="minorHAnsi" w:cstheme="minorHAnsi"/>
        </w:rPr>
        <w:t>uspostavljanju</w:t>
      </w:r>
      <w:proofErr w:type="spellEnd"/>
      <w:r w:rsidRPr="003429B4">
        <w:rPr>
          <w:rFonts w:asciiTheme="minorHAnsi" w:hAnsiTheme="minorHAnsi" w:cstheme="minorHAnsi"/>
        </w:rPr>
        <w:t xml:space="preserve"> </w:t>
      </w:r>
      <w:proofErr w:type="spellStart"/>
      <w:r w:rsidRPr="003429B4">
        <w:rPr>
          <w:rFonts w:asciiTheme="minorHAnsi" w:hAnsiTheme="minorHAnsi" w:cstheme="minorHAnsi"/>
        </w:rPr>
        <w:t>okvira</w:t>
      </w:r>
      <w:proofErr w:type="spellEnd"/>
      <w:r w:rsidRPr="003429B4">
        <w:rPr>
          <w:rFonts w:asciiTheme="minorHAnsi" w:hAnsiTheme="minorHAnsi" w:cstheme="minorHAnsi"/>
        </w:rPr>
        <w:t xml:space="preserve"> za </w:t>
      </w:r>
      <w:proofErr w:type="spellStart"/>
      <w:r w:rsidRPr="003429B4">
        <w:rPr>
          <w:rFonts w:asciiTheme="minorHAnsi" w:hAnsiTheme="minorHAnsi" w:cstheme="minorHAnsi"/>
        </w:rPr>
        <w:t>olakšavanje</w:t>
      </w:r>
      <w:proofErr w:type="spellEnd"/>
      <w:r w:rsidRPr="003429B4">
        <w:rPr>
          <w:rFonts w:asciiTheme="minorHAnsi" w:hAnsiTheme="minorHAnsi" w:cstheme="minorHAnsi"/>
        </w:rPr>
        <w:t xml:space="preserve"> </w:t>
      </w:r>
      <w:proofErr w:type="spellStart"/>
      <w:r w:rsidRPr="003429B4">
        <w:rPr>
          <w:rFonts w:asciiTheme="minorHAnsi" w:hAnsiTheme="minorHAnsi" w:cstheme="minorHAnsi"/>
        </w:rPr>
        <w:t>od</w:t>
      </w:r>
      <w:r>
        <w:rPr>
          <w:rFonts w:asciiTheme="minorHAnsi" w:hAnsiTheme="minorHAnsi" w:cstheme="minorHAnsi"/>
        </w:rPr>
        <w:t>rživih</w:t>
      </w:r>
      <w:proofErr w:type="spellEnd"/>
      <w:r>
        <w:rPr>
          <w:rFonts w:asciiTheme="minorHAnsi" w:hAnsiTheme="minorHAnsi" w:cstheme="minorHAnsi"/>
        </w:rPr>
        <w:t xml:space="preserve"> </w:t>
      </w:r>
      <w:proofErr w:type="spellStart"/>
      <w:r>
        <w:rPr>
          <w:rFonts w:asciiTheme="minorHAnsi" w:hAnsiTheme="minorHAnsi" w:cstheme="minorHAnsi"/>
        </w:rPr>
        <w:t>ulaganja</w:t>
      </w:r>
      <w:proofErr w:type="spellEnd"/>
      <w:r>
        <w:rPr>
          <w:rFonts w:asciiTheme="minorHAnsi" w:hAnsiTheme="minorHAnsi" w:cstheme="minorHAnsi"/>
        </w:rPr>
        <w:t xml:space="preserve"> i </w:t>
      </w:r>
      <w:proofErr w:type="spellStart"/>
      <w:r>
        <w:rPr>
          <w:rFonts w:asciiTheme="minorHAnsi" w:hAnsiTheme="minorHAnsi" w:cstheme="minorHAnsi"/>
        </w:rPr>
        <w:t>izmjeni</w:t>
      </w:r>
      <w:proofErr w:type="spellEnd"/>
      <w:r>
        <w:rPr>
          <w:rFonts w:asciiTheme="minorHAnsi" w:hAnsiTheme="minorHAnsi" w:cstheme="minorHAnsi"/>
        </w:rPr>
        <w:t xml:space="preserve"> Regulative</w:t>
      </w:r>
      <w:r w:rsidRPr="003429B4">
        <w:rPr>
          <w:rFonts w:asciiTheme="minorHAnsi" w:hAnsiTheme="minorHAnsi" w:cstheme="minorHAnsi"/>
        </w:rPr>
        <w:t xml:space="preserve"> (EU) 2019/2088 (SL L 198, 22.6.2020., str. 13.).</w:t>
      </w:r>
    </w:p>
  </w:footnote>
  <w:footnote w:id="11">
    <w:p w14:paraId="636F6F70" w14:textId="77777777" w:rsidR="009C1424" w:rsidRPr="00CF23C3" w:rsidRDefault="009C1424" w:rsidP="009C1424">
      <w:pPr>
        <w:pStyle w:val="FootnoteText"/>
        <w:spacing w:before="0"/>
        <w:ind w:left="0" w:firstLine="0"/>
        <w:contextualSpacing/>
        <w:rPr>
          <w:rFonts w:asciiTheme="minorHAnsi" w:hAnsiTheme="minorHAnsi" w:cstheme="minorHAnsi"/>
        </w:rPr>
      </w:pPr>
      <w:r w:rsidRPr="00CF23C3">
        <w:rPr>
          <w:rStyle w:val="FootnoteReference"/>
          <w:rFonts w:asciiTheme="minorHAnsi" w:hAnsiTheme="minorHAnsi" w:cstheme="minorHAnsi"/>
        </w:rPr>
        <w:footnoteRef/>
      </w:r>
      <w:r w:rsidRPr="00CF23C3">
        <w:rPr>
          <w:rFonts w:asciiTheme="minorHAnsi" w:hAnsiTheme="minorHAnsi" w:cstheme="minorHAnsi"/>
        </w:rPr>
        <w:tab/>
      </w:r>
      <w:r w:rsidRPr="00CF23C3">
        <w:rPr>
          <w:rFonts w:asciiTheme="minorHAnsi" w:hAnsiTheme="minorHAnsi" w:cstheme="minorHAnsi"/>
        </w:rPr>
        <w:t xml:space="preserve">Model </w:t>
      </w:r>
      <w:proofErr w:type="spellStart"/>
      <w:r w:rsidRPr="00CF23C3">
        <w:rPr>
          <w:rFonts w:asciiTheme="minorHAnsi" w:hAnsiTheme="minorHAnsi" w:cstheme="minorHAnsi"/>
        </w:rPr>
        <w:t>obrasca</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dodatnim</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podacima</w:t>
      </w:r>
      <w:proofErr w:type="spellEnd"/>
      <w:r w:rsidRPr="00CF23C3">
        <w:rPr>
          <w:rFonts w:asciiTheme="minorHAnsi" w:hAnsiTheme="minorHAnsi" w:cstheme="minorHAnsi"/>
        </w:rPr>
        <w:t xml:space="preserve"> za </w:t>
      </w:r>
      <w:proofErr w:type="spellStart"/>
      <w:r w:rsidRPr="00CF23C3">
        <w:rPr>
          <w:rFonts w:asciiTheme="minorHAnsi" w:hAnsiTheme="minorHAnsi" w:cstheme="minorHAnsi"/>
        </w:rPr>
        <w:t>prijavu</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planu</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evaluacije</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dio</w:t>
      </w:r>
      <w:proofErr w:type="spellEnd"/>
      <w:r w:rsidRPr="00CF23C3">
        <w:rPr>
          <w:rFonts w:asciiTheme="minorHAnsi" w:hAnsiTheme="minorHAnsi" w:cstheme="minorHAnsi"/>
        </w:rPr>
        <w:t xml:space="preserve"> III.8.) </w:t>
      </w:r>
      <w:proofErr w:type="spellStart"/>
      <w:r w:rsidRPr="00CF23C3">
        <w:rPr>
          <w:rFonts w:asciiTheme="minorHAnsi" w:hAnsiTheme="minorHAnsi" w:cstheme="minorHAnsi"/>
        </w:rPr>
        <w:t>dostupan</w:t>
      </w:r>
      <w:proofErr w:type="spellEnd"/>
      <w:r w:rsidRPr="00CF23C3">
        <w:rPr>
          <w:rFonts w:asciiTheme="minorHAnsi" w:hAnsiTheme="minorHAnsi" w:cstheme="minorHAnsi"/>
        </w:rPr>
        <w:t xml:space="preserve"> je ovdje:</w:t>
      </w:r>
      <w:hyperlink r:id="rId1" w:anchor="evaluation-plan" w:history="1">
        <w:r w:rsidRPr="001E4C4F">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09733C81"/>
    <w:multiLevelType w:val="hybridMultilevel"/>
    <w:tmpl w:val="D61C8950"/>
    <w:name w:val="Point2"/>
    <w:lvl w:ilvl="0" w:tplc="2FB24E16">
      <w:start w:val="1"/>
      <w:numFmt w:val="lowerRoman"/>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AE0A16"/>
    <w:multiLevelType w:val="hybridMultilevel"/>
    <w:tmpl w:val="8288309C"/>
    <w:lvl w:ilvl="0" w:tplc="2FB24E16">
      <w:start w:val="1"/>
      <w:numFmt w:val="lowerRoman"/>
      <w:lvlText w:val="(%1)"/>
      <w:lvlJc w:val="left"/>
      <w:pPr>
        <w:ind w:left="1080" w:hanging="72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4" w15:restartNumberingAfterBreak="0">
    <w:nsid w:val="22E44180"/>
    <w:multiLevelType w:val="multilevel"/>
    <w:tmpl w:val="72B276DA"/>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A92CDB"/>
    <w:multiLevelType w:val="hybridMultilevel"/>
    <w:tmpl w:val="73B2D976"/>
    <w:lvl w:ilvl="0" w:tplc="88489C7A">
      <w:start w:val="3"/>
      <w:numFmt w:val="lowerLetter"/>
      <w:lvlText w:val="%1)"/>
      <w:lvlJc w:val="left"/>
      <w:pPr>
        <w:ind w:left="2704"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6526F"/>
    <w:multiLevelType w:val="hybridMultilevel"/>
    <w:tmpl w:val="72DE512C"/>
    <w:lvl w:ilvl="0" w:tplc="1616C78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12FA4"/>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6F3045"/>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DB96D49"/>
    <w:multiLevelType w:val="hybridMultilevel"/>
    <w:tmpl w:val="12DE3CC4"/>
    <w:lvl w:ilvl="0" w:tplc="97541B8A">
      <w:start w:val="1"/>
      <w:numFmt w:val="lowerRoman"/>
      <w:lvlText w:val="%1."/>
      <w:lvlJc w:val="left"/>
      <w:pPr>
        <w:ind w:left="1080" w:hanging="360"/>
      </w:pPr>
      <w:rPr>
        <w:rFonts w:asciiTheme="minorHAnsi" w:hAnsiTheme="minorHAnsi" w:cstheme="minorHAnsi"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0"/>
    <w:lvlOverride w:ilvl="0">
      <w:startOverride w:val="1"/>
    </w:lvlOverride>
  </w:num>
  <w:num w:numId="3">
    <w:abstractNumId w:val="7"/>
  </w:num>
  <w:num w:numId="4">
    <w:abstractNumId w:val="4"/>
  </w:num>
  <w:num w:numId="5">
    <w:abstractNumId w:val="3"/>
  </w:num>
  <w:num w:numId="6">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0"/>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7F"/>
    <w:rsid w:val="001E27D7"/>
    <w:rsid w:val="007D1674"/>
    <w:rsid w:val="0099787F"/>
    <w:rsid w:val="009C1424"/>
    <w:rsid w:val="00AD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BD22"/>
  <w15:chartTrackingRefBased/>
  <w15:docId w15:val="{A4CBF8F8-C592-4383-A22E-358FF0A2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424"/>
  </w:style>
  <w:style w:type="paragraph" w:styleId="Heading1">
    <w:name w:val="heading 1"/>
    <w:basedOn w:val="Normal"/>
    <w:next w:val="Normal"/>
    <w:link w:val="Heading1Char"/>
    <w:qFormat/>
    <w:rsid w:val="009C1424"/>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9C1424"/>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9C1424"/>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9C1424"/>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9C1424"/>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9C1424"/>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9C1424"/>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424"/>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9C1424"/>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9C1424"/>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9C1424"/>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9C1424"/>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9C1424"/>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9C1424"/>
    <w:rPr>
      <w:rFonts w:ascii="Calibri" w:eastAsia="Times New Roman" w:hAnsi="Calibri" w:cs="Times New Roman"/>
      <w:sz w:val="24"/>
      <w:szCs w:val="24"/>
      <w:lang w:val="en-GB"/>
    </w:rPr>
  </w:style>
  <w:style w:type="paragraph" w:styleId="FootnoteText">
    <w:name w:val="footnote text"/>
    <w:basedOn w:val="Normal"/>
    <w:link w:val="FootnoteTextChar"/>
    <w:unhideWhenUsed/>
    <w:rsid w:val="009C1424"/>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9C1424"/>
    <w:rPr>
      <w:rFonts w:ascii="Times New Roman" w:eastAsia="Calibri" w:hAnsi="Times New Roman" w:cs="Times New Roman"/>
      <w:sz w:val="20"/>
      <w:szCs w:val="20"/>
      <w:lang w:val="x-none" w:eastAsia="x-none"/>
    </w:rPr>
  </w:style>
  <w:style w:type="paragraph" w:customStyle="1" w:styleId="Text2">
    <w:name w:val="Text 2"/>
    <w:basedOn w:val="Normal"/>
    <w:rsid w:val="009C1424"/>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9C1424"/>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9C1424"/>
    <w:rPr>
      <w:vertAlign w:val="superscript"/>
    </w:rPr>
  </w:style>
  <w:style w:type="paragraph" w:customStyle="1" w:styleId="SUPERSChar">
    <w:name w:val="SUPERS Char"/>
    <w:aliases w:val="EN Footnote Reference Char"/>
    <w:basedOn w:val="Normal"/>
    <w:link w:val="FootnoteReference"/>
    <w:rsid w:val="009C1424"/>
    <w:pPr>
      <w:spacing w:before="120" w:line="240" w:lineRule="exact"/>
      <w:ind w:left="720" w:hanging="720"/>
      <w:jc w:val="both"/>
    </w:pPr>
    <w:rPr>
      <w:vertAlign w:val="superscript"/>
    </w:rPr>
  </w:style>
  <w:style w:type="character" w:styleId="Hyperlink">
    <w:name w:val="Hyperlink"/>
    <w:uiPriority w:val="99"/>
    <w:rsid w:val="009C1424"/>
    <w:rPr>
      <w:color w:val="0000FF"/>
      <w:u w:val="single"/>
    </w:rPr>
  </w:style>
  <w:style w:type="paragraph" w:customStyle="1" w:styleId="Text1">
    <w:name w:val="Text 1"/>
    <w:basedOn w:val="Normal"/>
    <w:uiPriority w:val="99"/>
    <w:rsid w:val="009C1424"/>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NumPar1">
    <w:name w:val="NumPar 1"/>
    <w:basedOn w:val="Normal"/>
    <w:next w:val="Normal"/>
    <w:rsid w:val="009C1424"/>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9C1424"/>
    <w:pPr>
      <w:numPr>
        <w:numId w:val="2"/>
      </w:numPr>
      <w:spacing w:before="120" w:after="120" w:line="240" w:lineRule="auto"/>
      <w:jc w:val="both"/>
    </w:pPr>
    <w:rPr>
      <w:rFonts w:ascii="Times New Roman" w:eastAsia="Calibri" w:hAnsi="Times New Roman" w:cs="Times New Roman"/>
      <w:sz w:val="24"/>
      <w:lang w:val="hr-HR"/>
    </w:rPr>
  </w:style>
  <w:style w:type="character" w:customStyle="1" w:styleId="oj-italic">
    <w:name w:val="oj-italic"/>
    <w:rsid w:val="009C1424"/>
  </w:style>
  <w:style w:type="paragraph" w:customStyle="1" w:styleId="Point1number">
    <w:name w:val="Point 1 (number)"/>
    <w:basedOn w:val="Normal"/>
    <w:rsid w:val="009C1424"/>
    <w:pPr>
      <w:numPr>
        <w:ilvl w:val="2"/>
        <w:numId w:val="5"/>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9C1424"/>
    <w:pPr>
      <w:numPr>
        <w:ilvl w:val="4"/>
        <w:numId w:val="5"/>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9C1424"/>
    <w:pPr>
      <w:numPr>
        <w:ilvl w:val="6"/>
        <w:numId w:val="5"/>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9C1424"/>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9C1424"/>
    <w:pPr>
      <w:numPr>
        <w:ilvl w:val="3"/>
        <w:numId w:val="5"/>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9C1424"/>
    <w:pPr>
      <w:numPr>
        <w:ilvl w:val="5"/>
        <w:numId w:val="5"/>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9C1424"/>
    <w:pPr>
      <w:numPr>
        <w:ilvl w:val="7"/>
        <w:numId w:val="5"/>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9C1424"/>
    <w:pPr>
      <w:numPr>
        <w:ilvl w:val="8"/>
        <w:numId w:val="5"/>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5238</Words>
  <Characters>29858</Characters>
  <Application>Microsoft Office Word</Application>
  <DocSecurity>0</DocSecurity>
  <Lines>248</Lines>
  <Paragraphs>70</Paragraphs>
  <ScaleCrop>false</ScaleCrop>
  <Company/>
  <LinksUpToDate>false</LinksUpToDate>
  <CharactersWithSpaces>35026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3</cp:revision>
  <dcterms:created xsi:type="dcterms:W3CDTF">2026-03-26T12:04:00Z</dcterms:created>
  <dcterms:modified xsi:type="dcterms:W3CDTF">2026-03-26T12:05:00Z</dcterms:modified>
</cp:coreProperties>
</file>