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8507E" w14:textId="77777777" w:rsidR="00C9629B" w:rsidRPr="0086255B" w:rsidRDefault="00C9629B" w:rsidP="00C9629B">
      <w:pPr>
        <w:tabs>
          <w:tab w:val="left" w:leader="dot" w:pos="9072"/>
        </w:tabs>
        <w:spacing w:before="120" w:after="120"/>
        <w:jc w:val="both"/>
        <w:rPr>
          <w:rFonts w:cstheme="minorHAnsi"/>
          <w:b/>
          <w:noProof/>
        </w:rPr>
      </w:pPr>
      <w:r w:rsidRPr="0086255B">
        <w:rPr>
          <w:rFonts w:cstheme="minorHAnsi"/>
          <w:b/>
          <w:noProof/>
        </w:rPr>
        <w:t>Obrazac 7f – Obrazac o dodatnim podacima za državnu pomoć dodijeljenu na osnovu Smjernica o državnoj pomoći za klimu, zaštitu životne sredine i energiju za 2022.  (u daljem tekstu „CEEAG”) - Odjeljak 4.5. - Pomoć za sprečavanje ili smanjenje zagađenja koje nije uzrokovano gasovima sa efektom staklene bašte</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327"/>
      </w:tblGrid>
      <w:tr w:rsidR="00C9629B" w:rsidRPr="0086255B" w14:paraId="2E285C29" w14:textId="77777777" w:rsidTr="00D507D9">
        <w:trPr>
          <w:trHeight w:val="1134"/>
        </w:trPr>
        <w:tc>
          <w:tcPr>
            <w:tcW w:w="9327" w:type="dxa"/>
            <w:shd w:val="pct15" w:color="auto" w:fill="auto"/>
          </w:tcPr>
          <w:p w14:paraId="2FC4DB93" w14:textId="77777777" w:rsidR="00C9629B" w:rsidRPr="0086255B" w:rsidRDefault="00C9629B" w:rsidP="00D507D9">
            <w:pPr>
              <w:keepNext/>
              <w:keepLines/>
              <w:spacing w:before="120" w:after="120"/>
              <w:jc w:val="both"/>
              <w:outlineLvl w:val="1"/>
              <w:rPr>
                <w:rFonts w:eastAsia="Times New Roman" w:cstheme="minorHAnsi"/>
                <w:b/>
                <w:bCs/>
                <w:lang w:eastAsia="hr-HR" w:bidi="hr-HR"/>
              </w:rPr>
            </w:pPr>
            <w:proofErr w:type="spellStart"/>
            <w:r w:rsidRPr="0086255B">
              <w:rPr>
                <w:rFonts w:eastAsia="Times New Roman" w:cstheme="minorHAnsi"/>
                <w:b/>
                <w:bCs/>
                <w:lang w:eastAsia="hr-HR" w:bidi="hr-HR"/>
              </w:rPr>
              <w:t>Dio</w:t>
            </w:r>
            <w:proofErr w:type="spellEnd"/>
            <w:r w:rsidRPr="0086255B">
              <w:rPr>
                <w:rFonts w:eastAsia="Times New Roman" w:cstheme="minorHAnsi"/>
                <w:b/>
                <w:bCs/>
                <w:lang w:eastAsia="hr-HR" w:bidi="hr-HR"/>
              </w:rPr>
              <w:t xml:space="preserve"> III.6.F – </w:t>
            </w:r>
            <w:proofErr w:type="spellStart"/>
            <w:r w:rsidRPr="0086255B">
              <w:rPr>
                <w:rFonts w:eastAsia="Times New Roman" w:cstheme="minorHAnsi"/>
                <w:b/>
                <w:bCs/>
                <w:lang w:eastAsia="hr-HR" w:bidi="hr-HR"/>
              </w:rPr>
              <w:t>Obrazac</w:t>
            </w:r>
            <w:proofErr w:type="spellEnd"/>
            <w:r w:rsidRPr="0086255B">
              <w:rPr>
                <w:rFonts w:eastAsia="Times New Roman" w:cstheme="minorHAnsi"/>
                <w:b/>
                <w:bCs/>
                <w:lang w:eastAsia="hr-HR" w:bidi="hr-HR"/>
              </w:rPr>
              <w:t xml:space="preserve"> o </w:t>
            </w:r>
            <w:proofErr w:type="spellStart"/>
            <w:r w:rsidRPr="0086255B">
              <w:rPr>
                <w:rFonts w:eastAsia="Times New Roman" w:cstheme="minorHAnsi"/>
                <w:b/>
                <w:bCs/>
                <w:lang w:eastAsia="hr-HR" w:bidi="hr-HR"/>
              </w:rPr>
              <w:t>dodatnim</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podacima</w:t>
            </w:r>
            <w:proofErr w:type="spellEnd"/>
            <w:r w:rsidRPr="0086255B">
              <w:rPr>
                <w:rFonts w:eastAsia="Times New Roman" w:cstheme="minorHAnsi"/>
                <w:b/>
                <w:bCs/>
                <w:lang w:eastAsia="hr-HR" w:bidi="hr-HR"/>
              </w:rPr>
              <w:t xml:space="preserve"> za </w:t>
            </w:r>
            <w:proofErr w:type="spellStart"/>
            <w:r w:rsidRPr="0086255B">
              <w:rPr>
                <w:rFonts w:eastAsia="Times New Roman" w:cstheme="minorHAnsi"/>
                <w:b/>
                <w:bCs/>
                <w:lang w:eastAsia="hr-HR" w:bidi="hr-HR"/>
              </w:rPr>
              <w:t>državnu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pomoć</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dodijeljenu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na</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osnovu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Smjernica</w:t>
            </w:r>
            <w:proofErr w:type="spellEnd"/>
            <w:r w:rsidRPr="0086255B">
              <w:rPr>
                <w:rFonts w:eastAsia="Times New Roman" w:cstheme="minorHAnsi"/>
                <w:b/>
                <w:bCs/>
                <w:lang w:eastAsia="hr-HR" w:bidi="hr-HR"/>
              </w:rPr>
              <w:t xml:space="preserve"> o </w:t>
            </w:r>
            <w:proofErr w:type="spellStart"/>
            <w:r w:rsidRPr="0086255B">
              <w:rPr>
                <w:rFonts w:eastAsia="Times New Roman" w:cstheme="minorHAnsi"/>
                <w:b/>
                <w:bCs/>
                <w:lang w:eastAsia="hr-HR" w:bidi="hr-HR"/>
              </w:rPr>
              <w:t>državnoj</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pomoći</w:t>
            </w:r>
            <w:proofErr w:type="spellEnd"/>
            <w:r w:rsidRPr="0086255B">
              <w:rPr>
                <w:rFonts w:eastAsia="Times New Roman" w:cstheme="minorHAnsi"/>
                <w:b/>
                <w:bCs/>
                <w:lang w:eastAsia="hr-HR" w:bidi="hr-HR"/>
              </w:rPr>
              <w:t xml:space="preserve"> za </w:t>
            </w:r>
            <w:proofErr w:type="spellStart"/>
            <w:r w:rsidRPr="0086255B">
              <w:rPr>
                <w:rFonts w:eastAsia="Times New Roman" w:cstheme="minorHAnsi"/>
                <w:b/>
                <w:bCs/>
                <w:lang w:eastAsia="hr-HR" w:bidi="hr-HR"/>
              </w:rPr>
              <w:t>klimu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zaštitu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životne</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sredine</w:t>
            </w:r>
            <w:proofErr w:type="spellEnd"/>
            <w:r w:rsidRPr="0086255B">
              <w:rPr>
                <w:rFonts w:eastAsia="Times New Roman" w:cstheme="minorHAnsi"/>
                <w:b/>
                <w:bCs/>
                <w:lang w:eastAsia="hr-HR" w:bidi="hr-HR"/>
              </w:rPr>
              <w:t xml:space="preserve"> i </w:t>
            </w:r>
            <w:proofErr w:type="spellStart"/>
            <w:r w:rsidRPr="0086255B">
              <w:rPr>
                <w:rFonts w:eastAsia="Times New Roman" w:cstheme="minorHAnsi"/>
                <w:b/>
                <w:bCs/>
                <w:lang w:eastAsia="hr-HR" w:bidi="hr-HR"/>
              </w:rPr>
              <w:t>energiju</w:t>
            </w:r>
            <w:proofErr w:type="spellEnd"/>
            <w:r w:rsidRPr="0086255B">
              <w:rPr>
                <w:rFonts w:eastAsia="Times New Roman" w:cstheme="minorHAnsi"/>
                <w:b/>
                <w:bCs/>
                <w:lang w:eastAsia="hr-HR" w:bidi="hr-HR"/>
              </w:rPr>
              <w:t xml:space="preserve"> za 2022.  (u </w:t>
            </w:r>
            <w:proofErr w:type="spellStart"/>
            <w:r w:rsidRPr="0086255B">
              <w:rPr>
                <w:rFonts w:eastAsia="Times New Roman" w:cstheme="minorHAnsi"/>
                <w:b/>
                <w:bCs/>
                <w:lang w:eastAsia="hr-HR" w:bidi="hr-HR"/>
              </w:rPr>
              <w:t>daljem</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tekstu</w:t>
            </w:r>
            <w:proofErr w:type="spellEnd"/>
            <w:r w:rsidRPr="0086255B">
              <w:rPr>
                <w:rFonts w:eastAsia="Times New Roman" w:cstheme="minorHAnsi"/>
                <w:b/>
                <w:bCs/>
                <w:lang w:eastAsia="hr-HR" w:bidi="hr-HR"/>
              </w:rPr>
              <w:t xml:space="preserve"> „CEEAG”) - </w:t>
            </w:r>
            <w:proofErr w:type="spellStart"/>
            <w:r w:rsidRPr="0086255B">
              <w:rPr>
                <w:rFonts w:eastAsia="Times New Roman" w:cstheme="minorHAnsi"/>
                <w:b/>
                <w:bCs/>
                <w:lang w:eastAsia="hr-HR" w:bidi="hr-HR"/>
              </w:rPr>
              <w:t>Odjeljak</w:t>
            </w:r>
            <w:proofErr w:type="spellEnd"/>
            <w:r w:rsidRPr="0086255B">
              <w:rPr>
                <w:rFonts w:eastAsia="Times New Roman" w:cstheme="minorHAnsi"/>
                <w:b/>
                <w:bCs/>
                <w:lang w:eastAsia="hr-HR" w:bidi="hr-HR"/>
              </w:rPr>
              <w:t xml:space="preserve"> 4.5. - </w:t>
            </w:r>
            <w:proofErr w:type="spellStart"/>
            <w:r w:rsidRPr="0086255B">
              <w:rPr>
                <w:rFonts w:eastAsia="Times New Roman" w:cstheme="minorHAnsi"/>
                <w:b/>
                <w:bCs/>
                <w:lang w:eastAsia="hr-HR" w:bidi="hr-HR"/>
              </w:rPr>
              <w:t>Pomoć</w:t>
            </w:r>
            <w:proofErr w:type="spellEnd"/>
            <w:r w:rsidRPr="0086255B">
              <w:rPr>
                <w:rFonts w:eastAsia="Times New Roman" w:cstheme="minorHAnsi"/>
                <w:b/>
                <w:bCs/>
                <w:lang w:eastAsia="hr-HR" w:bidi="hr-HR"/>
              </w:rPr>
              <w:t xml:space="preserve"> za </w:t>
            </w:r>
            <w:proofErr w:type="spellStart"/>
            <w:r w:rsidRPr="0086255B">
              <w:rPr>
                <w:rFonts w:eastAsia="Times New Roman" w:cstheme="minorHAnsi"/>
                <w:b/>
                <w:bCs/>
                <w:lang w:eastAsia="hr-HR" w:bidi="hr-HR"/>
              </w:rPr>
              <w:t>sprečavanje</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ili</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smanjenje</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zagađenja</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koje</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nije</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uzrokovano</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gasovima</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sa</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efektom</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staklene</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bašte</w:t>
            </w:r>
            <w:proofErr w:type="spellEnd"/>
          </w:p>
        </w:tc>
      </w:tr>
    </w:tbl>
    <w:p w14:paraId="5D646EDA" w14:textId="77777777" w:rsidR="00C9629B" w:rsidRPr="0086255B" w:rsidRDefault="00C9629B" w:rsidP="00C9629B">
      <w:pPr>
        <w:spacing w:before="120" w:after="120"/>
        <w:ind w:right="-142"/>
        <w:jc w:val="both"/>
        <w:rPr>
          <w:rFonts w:cstheme="minorHAnsi"/>
          <w:i/>
          <w:noProof/>
        </w:rPr>
      </w:pPr>
      <w:r w:rsidRPr="0086255B">
        <w:rPr>
          <w:rFonts w:cstheme="minorHAnsi"/>
          <w:i/>
          <w:noProof/>
        </w:rPr>
        <w:t xml:space="preserve">Ovaj obrazac o dodatnim podacima odnosi se na mjere obuhvaćene odjeljkom 4.5. CEEAG-a. Ako prijava uključuje mjere na koje se odnosi više odjeljaka CEEAG-a, nakon što postanu dostupni, ispunite i odgovarajući obrazac o dodatnim podacima koji se odnosi na odgovarajuće odjeljke CEEAG-a. </w:t>
      </w:r>
    </w:p>
    <w:p w14:paraId="70FD98DA" w14:textId="77777777" w:rsidR="00C9629B" w:rsidRPr="0086255B" w:rsidRDefault="00C9629B" w:rsidP="00C9629B">
      <w:pPr>
        <w:spacing w:before="120" w:after="120"/>
        <w:ind w:right="-142"/>
        <w:jc w:val="both"/>
        <w:rPr>
          <w:rFonts w:cstheme="minorHAnsi"/>
          <w:i/>
          <w:noProof/>
        </w:rPr>
      </w:pPr>
      <w:r w:rsidRPr="0086255B">
        <w:rPr>
          <w:rFonts w:cstheme="minorHAnsi"/>
          <w:i/>
          <w:noProof/>
        </w:rPr>
        <w:t>Sva dokumenta koje države članice prilažu uz obrazac o dodatnim podacima moraju biti numerisani, a brojevi dokumenata navode se u odgovarajućim odjeljcima ovog obrasca o dodatnim podacima.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350"/>
      </w:tblGrid>
      <w:tr w:rsidR="00C9629B" w:rsidRPr="0086255B" w14:paraId="1ADF6C6D" w14:textId="77777777" w:rsidTr="00D507D9">
        <w:tc>
          <w:tcPr>
            <w:tcW w:w="5000" w:type="pct"/>
            <w:shd w:val="pct15" w:color="auto" w:fill="auto"/>
          </w:tcPr>
          <w:p w14:paraId="4BDDE678" w14:textId="77777777" w:rsidR="00C9629B" w:rsidRPr="0086255B" w:rsidRDefault="00C9629B" w:rsidP="00D507D9">
            <w:pPr>
              <w:spacing w:before="120" w:after="120"/>
              <w:jc w:val="both"/>
              <w:rPr>
                <w:rFonts w:cstheme="minorHAnsi"/>
                <w:b/>
                <w:iCs/>
                <w:noProof/>
                <w:lang w:eastAsia="hr-HR" w:bidi="hr-HR"/>
              </w:rPr>
            </w:pPr>
            <w:r w:rsidRPr="0086255B">
              <w:rPr>
                <w:rFonts w:cstheme="minorHAnsi"/>
                <w:lang w:eastAsia="hr-HR" w:bidi="hr-HR"/>
              </w:rPr>
              <w:br w:type="page"/>
            </w:r>
            <w:r w:rsidRPr="0086255B">
              <w:rPr>
                <w:rFonts w:cstheme="minorHAnsi"/>
                <w:b/>
                <w:noProof/>
                <w:lang w:eastAsia="hr-HR" w:bidi="hr-HR"/>
              </w:rPr>
              <w:t>Odjeljak A: Rezime glavnih karakteristika prijavljenih mjera</w:t>
            </w:r>
          </w:p>
        </w:tc>
      </w:tr>
    </w:tbl>
    <w:p w14:paraId="084F5B7B" w14:textId="77777777" w:rsidR="00C9629B" w:rsidRPr="0086255B" w:rsidRDefault="00C9629B" w:rsidP="00C9629B">
      <w:pPr>
        <w:pStyle w:val="NumPar1"/>
        <w:numPr>
          <w:ilvl w:val="0"/>
          <w:numId w:val="5"/>
        </w:numPr>
        <w:tabs>
          <w:tab w:val="clear" w:pos="850"/>
        </w:tabs>
        <w:ind w:left="360" w:hanging="360"/>
        <w:rPr>
          <w:rFonts w:asciiTheme="minorHAnsi" w:hAnsiTheme="minorHAnsi" w:cstheme="minorHAnsi"/>
          <w:bCs/>
          <w:noProof/>
          <w:sz w:val="22"/>
        </w:rPr>
      </w:pPr>
      <w:r w:rsidRPr="0086255B">
        <w:rPr>
          <w:rFonts w:asciiTheme="minorHAnsi" w:hAnsiTheme="minorHAnsi" w:cstheme="minorHAnsi"/>
          <w:bCs/>
          <w:noProof/>
          <w:sz w:val="22"/>
        </w:rPr>
        <w:t>Kontekst i ciljevi prijavljenih mjera</w:t>
      </w:r>
    </w:p>
    <w:p w14:paraId="677534E7" w14:textId="77777777" w:rsidR="00C9629B" w:rsidRPr="0086255B" w:rsidRDefault="00C9629B" w:rsidP="00C9629B">
      <w:pPr>
        <w:pStyle w:val="NumPar2"/>
        <w:numPr>
          <w:ilvl w:val="1"/>
          <w:numId w:val="5"/>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Ako to već nije objašnjeno u odjeljku 5.2. obrasca o opštim podacima (dio I), navedite kontekst i glavni cilj, uključujući ciljeve Unije u vezi sa ekološkim ciljevima koji se mjerom namjeravaju podržati. </w:t>
      </w:r>
    </w:p>
    <w:p w14:paraId="167B7D1A"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1A7B199A" w14:textId="77777777" w:rsidR="00C9629B" w:rsidRPr="0086255B" w:rsidRDefault="00C9629B" w:rsidP="00C9629B">
      <w:pPr>
        <w:pStyle w:val="NumPar2"/>
        <w:numPr>
          <w:ilvl w:val="1"/>
          <w:numId w:val="5"/>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Navedite sve druge ciljeve koji se nastoje postići mjerom. Ako je riječ o ciljevima koji nisu isključivo ekološki, objasnite da li oni mogu dovesti do narušavanja konkurtencije na unutrašnjem tržištu. </w:t>
      </w:r>
    </w:p>
    <w:p w14:paraId="7F91E389"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1AD3009F" w14:textId="77777777" w:rsidR="00C9629B" w:rsidRPr="0086255B" w:rsidRDefault="00C9629B" w:rsidP="00C9629B">
      <w:pPr>
        <w:pStyle w:val="NumPar1"/>
        <w:numPr>
          <w:ilvl w:val="0"/>
          <w:numId w:val="5"/>
        </w:numPr>
        <w:tabs>
          <w:tab w:val="clear" w:pos="850"/>
        </w:tabs>
        <w:ind w:left="360" w:hanging="360"/>
        <w:rPr>
          <w:rFonts w:asciiTheme="minorHAnsi" w:hAnsiTheme="minorHAnsi" w:cstheme="minorHAnsi"/>
          <w:bCs/>
          <w:noProof/>
          <w:sz w:val="22"/>
        </w:rPr>
      </w:pPr>
      <w:r w:rsidRPr="0086255B">
        <w:rPr>
          <w:rFonts w:asciiTheme="minorHAnsi" w:hAnsiTheme="minorHAnsi" w:cstheme="minorHAnsi"/>
          <w:bCs/>
          <w:noProof/>
          <w:sz w:val="22"/>
        </w:rPr>
        <w:t>Stupanje na snagu i trajanje</w:t>
      </w:r>
    </w:p>
    <w:p w14:paraId="2BCBA55C" w14:textId="77777777" w:rsidR="00C9629B" w:rsidRPr="0086255B" w:rsidRDefault="00C9629B" w:rsidP="00C9629B">
      <w:pPr>
        <w:pStyle w:val="NumPar2"/>
        <w:numPr>
          <w:ilvl w:val="1"/>
          <w:numId w:val="5"/>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Ako već nije navedeno u odjeljku 5.4. obrasca o opštim podacima (dio I), navedite datum na koji bi šema pomoći trebalo da stupi na snagu.</w:t>
      </w:r>
    </w:p>
    <w:p w14:paraId="3E938CD8"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3D8F0CD1" w14:textId="77777777" w:rsidR="00C9629B" w:rsidRPr="0086255B" w:rsidRDefault="00C9629B" w:rsidP="00C9629B">
      <w:pPr>
        <w:pStyle w:val="NumPar2"/>
        <w:numPr>
          <w:ilvl w:val="1"/>
          <w:numId w:val="5"/>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Navedite trajanje šeme.</w:t>
      </w:r>
      <w:r w:rsidRPr="0086255B">
        <w:rPr>
          <w:rStyle w:val="FootnoteReference"/>
          <w:rFonts w:asciiTheme="minorHAnsi" w:hAnsiTheme="minorHAnsi" w:cstheme="minorHAnsi"/>
          <w:noProof/>
          <w:sz w:val="22"/>
          <w:szCs w:val="22"/>
        </w:rPr>
        <w:footnoteReference w:id="1"/>
      </w:r>
    </w:p>
    <w:p w14:paraId="33EB794E"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6B9974D5" w14:textId="77777777" w:rsidR="00C9629B" w:rsidRPr="0086255B" w:rsidRDefault="00C9629B" w:rsidP="00C9629B">
      <w:pPr>
        <w:pStyle w:val="NumPar1"/>
        <w:numPr>
          <w:ilvl w:val="0"/>
          <w:numId w:val="5"/>
        </w:numPr>
        <w:tabs>
          <w:tab w:val="clear" w:pos="850"/>
        </w:tabs>
        <w:ind w:left="360" w:hanging="360"/>
        <w:rPr>
          <w:rFonts w:asciiTheme="minorHAnsi" w:hAnsiTheme="minorHAnsi" w:cstheme="minorHAnsi"/>
          <w:bCs/>
          <w:noProof/>
          <w:sz w:val="22"/>
        </w:rPr>
      </w:pPr>
      <w:r w:rsidRPr="0086255B">
        <w:rPr>
          <w:rFonts w:asciiTheme="minorHAnsi" w:hAnsiTheme="minorHAnsi" w:cstheme="minorHAnsi"/>
          <w:bCs/>
          <w:noProof/>
          <w:sz w:val="22"/>
        </w:rPr>
        <w:t>Korisnici</w:t>
      </w:r>
      <w:r w:rsidRPr="0086255B">
        <w:rPr>
          <w:rFonts w:asciiTheme="minorHAnsi" w:hAnsiTheme="minorHAnsi" w:cstheme="minorHAnsi"/>
          <w:bCs/>
          <w:noProof/>
          <w:sz w:val="22"/>
        </w:rPr>
        <w:tab/>
      </w:r>
    </w:p>
    <w:p w14:paraId="792404DD" w14:textId="77777777" w:rsidR="00C9629B" w:rsidRPr="0086255B" w:rsidRDefault="00C9629B" w:rsidP="00C9629B">
      <w:pPr>
        <w:pStyle w:val="NumPar2"/>
        <w:numPr>
          <w:ilvl w:val="1"/>
          <w:numId w:val="5"/>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Ako već nisu opisani u odjeljku 3 obrasca o opštim podacima (dio I), opišite (potencijalne) korisnike mjera.</w:t>
      </w:r>
    </w:p>
    <w:p w14:paraId="75DB8B4B"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027BA394" w14:textId="77777777" w:rsidR="00C9629B" w:rsidRPr="0086255B" w:rsidRDefault="00C9629B" w:rsidP="00C9629B">
      <w:pPr>
        <w:pStyle w:val="NumPar2"/>
        <w:numPr>
          <w:ilvl w:val="1"/>
          <w:numId w:val="5"/>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lastRenderedPageBreak/>
        <w:t>Navedite lokaciju (potencijalnih) korisnika (tj. da li su za učestvovanje u mjeri prihvatljivi samo privredni subjekti koji se nalaze u predmetnoj državi članici ili i oni iz drugih država članica).</w:t>
      </w:r>
    </w:p>
    <w:p w14:paraId="5C3F0475"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789AF656" w14:textId="77777777" w:rsidR="00C9629B" w:rsidRPr="0086255B" w:rsidRDefault="00C9629B" w:rsidP="00C9629B">
      <w:pPr>
        <w:pStyle w:val="NumPar2"/>
        <w:numPr>
          <w:ilvl w:val="1"/>
          <w:numId w:val="5"/>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Kako bi se ocijenila usklađenost sa tačkom 15 CEEAG-a, navedite da li se pomoć dodjeljuje u okviru mjera u korist privrednog društva (individualno ili u okviru šeme) koji nije izvršio nalog za povraćaj sredstava na osnovu prethodne odluke Komisije kojom je pomoć ocijenjena kao nezakonita i neusklađena sa unutrašnjim tržištem. </w:t>
      </w:r>
    </w:p>
    <w:p w14:paraId="6BE93F6B" w14:textId="77777777" w:rsidR="00C9629B" w:rsidRPr="0086255B" w:rsidRDefault="00C9629B" w:rsidP="00C9629B">
      <w:pPr>
        <w:pStyle w:val="Text1"/>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Ako se takva pomoć dodjeljuje, navedite podatke o iznosu pomoći koji još nije vraćen kako bi Komisija to uzela u obzir pri ocjeni mjere pomoći.</w:t>
      </w:r>
    </w:p>
    <w:p w14:paraId="6E32E793"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31EAEE69" w14:textId="77777777" w:rsidR="00C9629B" w:rsidRPr="0086255B" w:rsidRDefault="00C9629B" w:rsidP="00C9629B">
      <w:pPr>
        <w:pStyle w:val="NumPar1"/>
        <w:numPr>
          <w:ilvl w:val="0"/>
          <w:numId w:val="5"/>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Potvrdite da mjera ne uključuje pomoć za djelatnosti koje nisu obuhvaćene područjem primjene CEEAG-a (vidjeti tačku 13 CEEAG-a). U suprotnom navedite pojedinosti.</w:t>
      </w:r>
    </w:p>
    <w:p w14:paraId="1CC8FD4D"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65AA2D91" w14:textId="77777777" w:rsidR="00C9629B" w:rsidRPr="0086255B" w:rsidRDefault="00C9629B" w:rsidP="00C9629B">
      <w:pPr>
        <w:pStyle w:val="NumPar1"/>
        <w:numPr>
          <w:ilvl w:val="0"/>
          <w:numId w:val="5"/>
        </w:numPr>
        <w:tabs>
          <w:tab w:val="clear" w:pos="850"/>
        </w:tabs>
        <w:ind w:left="360" w:hanging="360"/>
        <w:rPr>
          <w:rFonts w:asciiTheme="minorHAnsi" w:hAnsiTheme="minorHAnsi" w:cstheme="minorHAnsi"/>
          <w:bCs/>
          <w:noProof/>
          <w:sz w:val="22"/>
        </w:rPr>
      </w:pPr>
      <w:r w:rsidRPr="0086255B">
        <w:rPr>
          <w:rFonts w:asciiTheme="minorHAnsi" w:hAnsiTheme="minorHAnsi" w:cstheme="minorHAnsi"/>
          <w:bCs/>
          <w:noProof/>
          <w:sz w:val="22"/>
        </w:rPr>
        <w:t>Budžet i finansiranje mjera</w:t>
      </w:r>
    </w:p>
    <w:p w14:paraId="4CA2EF2A" w14:textId="77777777" w:rsidR="00C9629B" w:rsidRPr="0086255B" w:rsidRDefault="00C9629B" w:rsidP="00C9629B">
      <w:pPr>
        <w:pStyle w:val="NumPar2"/>
        <w:numPr>
          <w:ilvl w:val="1"/>
          <w:numId w:val="5"/>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Ako već nije navedeno u tabeli u odjeljku 7.1. obrasca o opštim podacima (dio I), navedite godišnji i/ili ukupni budžet za cijelo trajanje mjera; ako ukupan budžet nije poznat (npr. zato što zavisi od rezultata tendera), navedite procijenjeni budžet, uključujući pretpostavke na osnovu kojih je izračunat.</w:t>
      </w:r>
      <w:r w:rsidRPr="0086255B">
        <w:rPr>
          <w:rStyle w:val="FootnoteReference"/>
          <w:rFonts w:asciiTheme="minorHAnsi" w:hAnsiTheme="minorHAnsi" w:cstheme="minorHAnsi"/>
          <w:noProof/>
          <w:sz w:val="22"/>
          <w:szCs w:val="22"/>
        </w:rPr>
        <w:footnoteReference w:id="2"/>
      </w:r>
    </w:p>
    <w:p w14:paraId="21BDEFC8"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0EA4971D" w14:textId="77777777" w:rsidR="00C9629B" w:rsidRPr="0086255B" w:rsidRDefault="00C9629B" w:rsidP="00C9629B">
      <w:pPr>
        <w:pStyle w:val="NumPar2"/>
        <w:numPr>
          <w:ilvl w:val="1"/>
          <w:numId w:val="5"/>
        </w:numPr>
        <w:tabs>
          <w:tab w:val="clear" w:pos="850"/>
        </w:tabs>
        <w:ind w:left="360" w:hanging="360"/>
        <w:rPr>
          <w:rFonts w:asciiTheme="minorHAnsi" w:hAnsiTheme="minorHAnsi" w:cstheme="minorHAnsi"/>
          <w:bCs/>
          <w:noProof/>
          <w:sz w:val="22"/>
          <w:szCs w:val="22"/>
        </w:rPr>
      </w:pPr>
      <w:r w:rsidRPr="0086255B">
        <w:rPr>
          <w:rFonts w:asciiTheme="minorHAnsi" w:hAnsiTheme="minorHAnsi" w:cstheme="minorHAnsi"/>
          <w:noProof/>
          <w:sz w:val="22"/>
          <w:szCs w:val="22"/>
        </w:rPr>
        <w:t>Ako se mjera finansira iz nameta, pojasnite:</w:t>
      </w:r>
    </w:p>
    <w:p w14:paraId="5B45E3A3" w14:textId="77777777" w:rsidR="00C9629B" w:rsidRPr="0086255B" w:rsidRDefault="00C9629B" w:rsidP="00C9629B">
      <w:pPr>
        <w:pStyle w:val="Point1letter"/>
        <w:numPr>
          <w:ilvl w:val="3"/>
          <w:numId w:val="6"/>
        </w:numP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je namet utvrđen zakonom ili nekim drugim zakonodavnim aktom; ako jeste, navedite odgovarajući pravni akt, broj i datum kada je usvojen i stupio na snagu, kao i interent vezu do pravnog akta;</w:t>
      </w:r>
    </w:p>
    <w:p w14:paraId="233AD595"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23208827" w14:textId="77777777" w:rsidR="00C9629B" w:rsidRPr="0086255B" w:rsidRDefault="00C9629B" w:rsidP="00C9629B">
      <w:pPr>
        <w:pStyle w:val="Point1lette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se namet naplaćuje podjednako za domaće i uvezene proizvode;</w:t>
      </w:r>
    </w:p>
    <w:p w14:paraId="3213FD89"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43F2418B" w14:textId="77777777" w:rsidR="00C9629B" w:rsidRPr="0086255B" w:rsidRDefault="00C9629B" w:rsidP="00C9629B">
      <w:pPr>
        <w:pStyle w:val="Point1lette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će prijavljena mjera koristiti podjednako domaćim i uvoznim proizvođačima;</w:t>
      </w:r>
    </w:p>
    <w:p w14:paraId="3FC943FE"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27424097" w14:textId="77777777" w:rsidR="00C9629B" w:rsidRPr="0086255B" w:rsidRDefault="00C9629B" w:rsidP="00C9629B">
      <w:pPr>
        <w:pStyle w:val="Point1lette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se mjera finansira u potpunosti ili samo djelimično iz nameta; ako se finansira samo djelimično, navedite druge izvore finansiranja mjere i njihov odgovarajući udio;</w:t>
      </w:r>
    </w:p>
    <w:p w14:paraId="33B4A81D"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34A23069" w14:textId="77777777" w:rsidR="00C9629B" w:rsidRPr="0086255B" w:rsidRDefault="00C9629B" w:rsidP="00C9629B">
      <w:pPr>
        <w:pStyle w:val="Point1lette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se iz istog nameta finansiraju i druge mjere pomoći; ako da, navedite koje.</w:t>
      </w:r>
    </w:p>
    <w:p w14:paraId="4D27F7BF" w14:textId="77777777" w:rsidR="00C9629B" w:rsidRPr="0086255B" w:rsidRDefault="00C9629B" w:rsidP="00C9629B">
      <w:pPr>
        <w:pStyle w:val="Point1letter"/>
        <w:numPr>
          <w:ilvl w:val="0"/>
          <w:numId w:val="0"/>
        </w:numPr>
        <w:rPr>
          <w:rFonts w:asciiTheme="minorHAnsi" w:hAnsiTheme="minorHAnsi" w:cstheme="minorHAnsi"/>
          <w:bCs/>
          <w:noProof/>
          <w:sz w:val="22"/>
        </w:rPr>
      </w:pPr>
      <w:r w:rsidRPr="0086255B">
        <w:rPr>
          <w:rFonts w:asciiTheme="minorHAnsi" w:hAnsiTheme="minorHAnsi" w:cstheme="minorHAnsi"/>
          <w:bCs/>
          <w:noProof/>
          <w:sz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350"/>
      </w:tblGrid>
      <w:tr w:rsidR="00C9629B" w:rsidRPr="0086255B" w14:paraId="016DB483" w14:textId="77777777" w:rsidTr="00D507D9">
        <w:tc>
          <w:tcPr>
            <w:tcW w:w="5000" w:type="pct"/>
            <w:shd w:val="pct15" w:color="auto" w:fill="auto"/>
          </w:tcPr>
          <w:p w14:paraId="11583ECB" w14:textId="77777777" w:rsidR="00C9629B" w:rsidRPr="0086255B" w:rsidRDefault="00C9629B" w:rsidP="00D507D9">
            <w:pPr>
              <w:spacing w:before="120" w:after="120"/>
              <w:jc w:val="both"/>
              <w:rPr>
                <w:rFonts w:cstheme="minorHAnsi"/>
                <w:b/>
                <w:iCs/>
                <w:noProof/>
                <w:lang w:eastAsia="hr-HR" w:bidi="hr-HR"/>
              </w:rPr>
            </w:pPr>
            <w:r w:rsidRPr="0086255B">
              <w:rPr>
                <w:rFonts w:cstheme="minorHAnsi"/>
                <w:lang w:eastAsia="hr-HR" w:bidi="hr-HR"/>
              </w:rPr>
              <w:br w:type="page"/>
            </w:r>
            <w:r w:rsidRPr="0086255B">
              <w:rPr>
                <w:rFonts w:cstheme="minorHAnsi"/>
                <w:b/>
                <w:noProof/>
                <w:lang w:eastAsia="hr-HR" w:bidi="hr-HR"/>
              </w:rPr>
              <w:t>Odjeljak B: Ocjena usklađenosti pomoći</w:t>
            </w:r>
          </w:p>
        </w:tc>
      </w:tr>
    </w:tbl>
    <w:p w14:paraId="68B2B2FF" w14:textId="77777777" w:rsidR="00C9629B" w:rsidRPr="0086255B" w:rsidRDefault="00C9629B" w:rsidP="00C9629B">
      <w:pPr>
        <w:pStyle w:val="Heading1"/>
        <w:keepNext/>
        <w:numPr>
          <w:ilvl w:val="0"/>
          <w:numId w:val="7"/>
        </w:numPr>
        <w:tabs>
          <w:tab w:val="clear" w:pos="850"/>
        </w:tabs>
        <w:spacing w:before="120" w:after="120"/>
        <w:ind w:left="360" w:right="0" w:hanging="360"/>
        <w:jc w:val="both"/>
        <w:rPr>
          <w:rFonts w:asciiTheme="minorHAnsi" w:hAnsiTheme="minorHAnsi" w:cstheme="minorHAnsi"/>
          <w:noProof/>
          <w:sz w:val="22"/>
          <w:szCs w:val="22"/>
        </w:rPr>
      </w:pPr>
      <w:r w:rsidRPr="0086255B">
        <w:rPr>
          <w:rFonts w:asciiTheme="minorHAnsi" w:hAnsiTheme="minorHAnsi" w:cstheme="minorHAnsi"/>
          <w:noProof/>
          <w:sz w:val="22"/>
          <w:szCs w:val="22"/>
        </w:rPr>
        <w:lastRenderedPageBreak/>
        <w:t>Pozitivan uslov: pomoć mora da olakšava razvoj ekonomske djelatnosti</w:t>
      </w:r>
    </w:p>
    <w:p w14:paraId="2A89BD53" w14:textId="77777777" w:rsidR="00C9629B" w:rsidRPr="0086255B" w:rsidRDefault="00C9629B" w:rsidP="00C9629B">
      <w:pPr>
        <w:pStyle w:val="Heading2"/>
        <w:keepLines w:val="0"/>
        <w:numPr>
          <w:ilvl w:val="1"/>
          <w:numId w:val="7"/>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Doprinos razvoju ekonomske djelatnosti</w:t>
      </w:r>
    </w:p>
    <w:p w14:paraId="0130F28C" w14:textId="77777777" w:rsidR="00C9629B" w:rsidRPr="0086255B" w:rsidRDefault="00C9629B" w:rsidP="00C9629B">
      <w:pPr>
        <w:spacing w:before="120" w:after="120"/>
        <w:jc w:val="both"/>
        <w:rPr>
          <w:rFonts w:cstheme="minorHAnsi"/>
          <w:i/>
          <w:noProof/>
        </w:rPr>
      </w:pPr>
      <w:r w:rsidRPr="0086255B">
        <w:rPr>
          <w:rFonts w:cstheme="minorHAnsi"/>
          <w:i/>
          <w:noProof/>
        </w:rPr>
        <w:t xml:space="preserve">Za unos podataka u ovom odjeljku vidjeti odjeljke 3.1.1. (tačke od 23 do 25), 4.5.1. (tačke 253 i 254) i 4.5.2. (tačke od 255 do 259) CEEAG-a. </w:t>
      </w:r>
    </w:p>
    <w:p w14:paraId="4DD58CB9" w14:textId="77777777" w:rsidR="00C9629B" w:rsidRPr="0086255B" w:rsidRDefault="00C9629B" w:rsidP="00C9629B">
      <w:pPr>
        <w:pStyle w:val="NumPar1"/>
        <w:numPr>
          <w:ilvl w:val="0"/>
          <w:numId w:val="5"/>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U članu 107 stav 3 tačka (c) Ugovora o funkcioniranju Evropske unije („Ugovor”) predviđena je mogućnost da Komisija usklađenom može proglasiti „pomoć za olakšavanje razvoja određenih ekonomskih djelatnosti ili određenih ekonomskih područja ako takva pomoć ne utiče negativno na  uslove konkurencije i trgovine u mjeri u kojoj bi to bilo suprotno zajedničkom interesu”. Stoga pomoć koja je usklađena na osnovu te odredbe Ugovora mora doprinijeti razvoju određene ekonomske djelatnosti. </w:t>
      </w:r>
    </w:p>
    <w:p w14:paraId="148460F7" w14:textId="77777777" w:rsidR="00C9629B" w:rsidRPr="0086255B" w:rsidRDefault="00C9629B" w:rsidP="00C9629B">
      <w:pPr>
        <w:pStyle w:val="Text1"/>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Kako bi se ocijenila usklađenost sa tačkom 23 CEEAG-a, navedite ekonomske djelatnosti koje će biti olakšane kao rezultat pomoći i način na koji se podstiče razvoj tih djelatnosti.</w:t>
      </w:r>
    </w:p>
    <w:p w14:paraId="358894CF"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53C1A210" w14:textId="77777777" w:rsidR="00C9629B" w:rsidRPr="0086255B" w:rsidRDefault="00C9629B" w:rsidP="00C9629B">
      <w:pPr>
        <w:pStyle w:val="NumPar1"/>
        <w:numPr>
          <w:ilvl w:val="0"/>
          <w:numId w:val="5"/>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ocijenila usklađenost sa tačkom 25 CEEAG-a, opišite i „da li će i kako pomoć doprinijeti postizanju ciljeva klimatske politike Unije u oblasti zaštite životne sredine i energetike, a posebno očekivane koristi od pomoći u smislu njenog značajnog doprinosa zaštiti životne sredine, uključujući ublažavanje klimatskih promjena, ili efikasnom funkcionisanju unutrašnjeg energetskog tržišta”.</w:t>
      </w:r>
    </w:p>
    <w:p w14:paraId="467329FC"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4B1E9125" w14:textId="77777777" w:rsidR="00C9629B" w:rsidRPr="0086255B" w:rsidRDefault="00C9629B" w:rsidP="00C9629B">
      <w:pPr>
        <w:pStyle w:val="NumPar1"/>
        <w:numPr>
          <w:ilvl w:val="0"/>
          <w:numId w:val="5"/>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Osim toga, navedite u kojoj je mjeri pomoć povezana sa politikama opisanim u tačkama 253 i 254 CEEAG-a.</w:t>
      </w:r>
    </w:p>
    <w:p w14:paraId="6EB32828"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6A188010" w14:textId="77777777" w:rsidR="00C9629B" w:rsidRPr="0086255B" w:rsidRDefault="00C9629B" w:rsidP="00C9629B">
      <w:pPr>
        <w:pStyle w:val="NumPar1"/>
        <w:numPr>
          <w:ilvl w:val="0"/>
          <w:numId w:val="5"/>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Opišite uslove prihvatljivosti koji se primjenjuju na korisnika/korisnike (na primjer uključujući sve tehničke, ekološke (npr. dozvole), finansijske (npr. garancije) ili druge uslove koje korisnik/korisnici moraju da ispune).</w:t>
      </w:r>
    </w:p>
    <w:p w14:paraId="48F5D7A1"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1A5E11F5" w14:textId="77777777" w:rsidR="00C9629B" w:rsidRPr="0086255B" w:rsidRDefault="00C9629B" w:rsidP="00C9629B">
      <w:pPr>
        <w:pStyle w:val="NumPar1"/>
        <w:numPr>
          <w:ilvl w:val="0"/>
          <w:numId w:val="5"/>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Navedite podatke o tačnom području primjene i podržanim djelatnostima iz mjera pomoći, kako je navedeno u odjeljku 4.5.2. (tačke od 255 do 259) CEEAG-a. Navedite koje su od sljedećih kategorija ulaganja prihvatljive u okviru mjere pomoći:</w:t>
      </w:r>
    </w:p>
    <w:p w14:paraId="25E3AF02" w14:textId="77777777" w:rsidR="00C9629B" w:rsidRPr="0086255B" w:rsidRDefault="00C9629B" w:rsidP="00C9629B">
      <w:pPr>
        <w:pStyle w:val="Point1letter"/>
        <w:numPr>
          <w:ilvl w:val="3"/>
          <w:numId w:val="8"/>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 xml:space="preserve">ulaganja kojima se privrednim društvima omogućava sprečavanje ili smanjenje zagađenja koje nije uzrokovano gasovima sa efektom staklene bašte, koja prevazilaze standarde Unije za zaštitu životne sredine; </w:t>
      </w:r>
    </w:p>
    <w:p w14:paraId="2ABDB2C0" w14:textId="77777777" w:rsidR="00C9629B" w:rsidRPr="0086255B" w:rsidRDefault="00C9629B" w:rsidP="00C9629B">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ulaganja kojima se privrednim društvima omogućava sprečavanje ili smanjenje zagađenja koje nije uzrokovano gasovima sa efektom staklene bašte ako standardi Unije za zaštitu životne sredine ne postoje;</w:t>
      </w:r>
    </w:p>
    <w:p w14:paraId="4A7F2D1E" w14:textId="77777777" w:rsidR="00C9629B" w:rsidRPr="0086255B" w:rsidRDefault="00C9629B" w:rsidP="00C9629B">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ulaganja kojima se privrednim društvima omogućava usklađivanje sa standardima Unije koje su doneseni, ali još nisu stupili na snagu.</w:t>
      </w:r>
    </w:p>
    <w:p w14:paraId="0BF2A8AD"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773DA0FA" w14:textId="77777777" w:rsidR="00C9629B" w:rsidRPr="0086255B" w:rsidRDefault="00C9629B" w:rsidP="00C9629B">
      <w:pPr>
        <w:pStyle w:val="NumPar1"/>
        <w:numPr>
          <w:ilvl w:val="0"/>
          <w:numId w:val="5"/>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lastRenderedPageBreak/>
        <w:t>Ako je pomoć u obliku dozvola za emisiju gasova sa efektom staklene bašte</w:t>
      </w:r>
      <w:r w:rsidRPr="0086255B">
        <w:rPr>
          <w:rStyle w:val="FootnoteReference"/>
          <w:rFonts w:asciiTheme="minorHAnsi" w:hAnsiTheme="minorHAnsi" w:cstheme="minorHAnsi"/>
          <w:noProof/>
          <w:sz w:val="22"/>
          <w:lang w:eastAsia="en-GB"/>
        </w:rPr>
        <w:footnoteReference w:id="3"/>
      </w:r>
      <w:r w:rsidRPr="0086255B">
        <w:rPr>
          <w:rFonts w:asciiTheme="minorHAnsi" w:hAnsiTheme="minorHAnsi" w:cstheme="minorHAnsi"/>
          <w:noProof/>
          <w:sz w:val="22"/>
        </w:rPr>
        <w:t>:</w:t>
      </w:r>
    </w:p>
    <w:p w14:paraId="12559680" w14:textId="77777777" w:rsidR="00C9629B" w:rsidRPr="0086255B" w:rsidRDefault="00C9629B" w:rsidP="00C9629B">
      <w:pPr>
        <w:pStyle w:val="Point1letter"/>
        <w:numPr>
          <w:ilvl w:val="3"/>
          <w:numId w:val="9"/>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detaljno opišite šemu dozvola za emisiju gasova sa efektom staklene bašte, uključujući između ostalog ciljeve, metodologiju dodjele, nadležne organe ili subjekte koji su uključeni, ulogu države, korisnike pomoći i sam postupak;</w:t>
      </w:r>
    </w:p>
    <w:p w14:paraId="787B73C1"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3314A95A" w14:textId="77777777" w:rsidR="00C9629B" w:rsidRPr="0086255B" w:rsidRDefault="00C9629B" w:rsidP="00C9629B">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opišite na koji način je šema dozvola za emisiju gasova sa efektom staklene bašte osmišljena da spriječi ili smanji zagađenje iznad nivoa koji bi se postigli primjenom obaveznih standarda Unije koji su obavezujući za predmetna privredna društva.</w:t>
      </w:r>
    </w:p>
    <w:p w14:paraId="3AB1AD73"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4D57E0C1" w14:textId="77777777" w:rsidR="00C9629B" w:rsidRPr="0086255B" w:rsidRDefault="00C9629B" w:rsidP="00C9629B">
      <w:pPr>
        <w:pStyle w:val="NumPar1"/>
        <w:numPr>
          <w:ilvl w:val="0"/>
          <w:numId w:val="5"/>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Potvrdite da je pomoć usmjerena na sprečavanje ili smanjenje zagađenja koje je direktno povezano sa djelatnostima samih korisnika.</w:t>
      </w:r>
    </w:p>
    <w:p w14:paraId="3F562CFF"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68090727" w14:textId="77777777" w:rsidR="00C9629B" w:rsidRPr="0086255B" w:rsidRDefault="00C9629B" w:rsidP="00C9629B">
      <w:pPr>
        <w:pStyle w:val="NumPar1"/>
        <w:numPr>
          <w:ilvl w:val="0"/>
          <w:numId w:val="5"/>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Opišite na koji način će se obezbijediti da pomoć ne dovede samo do premještanja zagađenja iz jednog sektora u drugi ili iz jednog segmenta životne sredine u drugi, već da će se postići ukupno smanjenje zagađenja.</w:t>
      </w:r>
    </w:p>
    <w:p w14:paraId="3D645F2D" w14:textId="77777777" w:rsidR="00C9629B" w:rsidRPr="0086255B" w:rsidRDefault="00C9629B" w:rsidP="00C9629B">
      <w:pPr>
        <w:tabs>
          <w:tab w:val="left" w:leader="dot" w:pos="9072"/>
        </w:tabs>
        <w:spacing w:before="120" w:after="120"/>
        <w:jc w:val="both"/>
        <w:rPr>
          <w:rFonts w:cstheme="minorHAnsi"/>
          <w:noProof/>
        </w:rPr>
      </w:pPr>
      <w:bookmarkStart w:id="0" w:name="_Hlk219819235"/>
      <w:r w:rsidRPr="0086255B">
        <w:rPr>
          <w:rFonts w:cstheme="minorHAnsi"/>
          <w:noProof/>
        </w:rPr>
        <w:tab/>
      </w:r>
      <w:bookmarkEnd w:id="0"/>
    </w:p>
    <w:p w14:paraId="4EA40C6D" w14:textId="77777777" w:rsidR="00C9629B" w:rsidRPr="0086255B" w:rsidRDefault="00C9629B" w:rsidP="00C9629B">
      <w:pPr>
        <w:pStyle w:val="NumPar1"/>
        <w:numPr>
          <w:ilvl w:val="0"/>
          <w:numId w:val="5"/>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Za individualnu pomoć i šeme pomoćie koji su namijenjeni vrlo ograničenom broju korisnika ili postojećih korisnika, a koje imaju za cilj smanjenje zagađenja koje nije uzrokovano gasovima sa efektom staklene bašte, navedite kvantifikaciju očekivanih ušteda emisija/zagađujućih materijala koje će proisteći iz mjere i objasnite metod koji se koristu za njihovu kvantifikaciju.</w:t>
      </w:r>
    </w:p>
    <w:p w14:paraId="067D8B97" w14:textId="77777777" w:rsidR="00C9629B" w:rsidRPr="0086255B" w:rsidRDefault="00C9629B" w:rsidP="00C9629B">
      <w:pPr>
        <w:tabs>
          <w:tab w:val="left" w:leader="dot" w:pos="9072"/>
        </w:tabs>
        <w:spacing w:before="120" w:after="120"/>
        <w:jc w:val="both"/>
        <w:rPr>
          <w:rFonts w:cstheme="minorHAnsi"/>
          <w:noProof/>
        </w:rPr>
      </w:pPr>
      <w:bookmarkStart w:id="1" w:name="_Hlk219819244"/>
      <w:r w:rsidRPr="0086255B">
        <w:rPr>
          <w:rFonts w:cstheme="minorHAnsi"/>
          <w:noProof/>
        </w:rPr>
        <w:tab/>
      </w:r>
    </w:p>
    <w:bookmarkEnd w:id="1"/>
    <w:p w14:paraId="1960D91A" w14:textId="77777777" w:rsidR="00C9629B" w:rsidRPr="0086255B" w:rsidRDefault="00C9629B" w:rsidP="00C9629B">
      <w:pPr>
        <w:pStyle w:val="NumPar1"/>
        <w:numPr>
          <w:ilvl w:val="0"/>
          <w:numId w:val="5"/>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Navedite da li mjera pomoći doprinosi sprečavanju ili smanjenju emisija gasova sa efektom staklene bašte.</w:t>
      </w:r>
    </w:p>
    <w:p w14:paraId="33758B98" w14:textId="77777777" w:rsidR="00C9629B" w:rsidRPr="0086255B" w:rsidRDefault="00C9629B" w:rsidP="00C9629B">
      <w:pPr>
        <w:pStyle w:val="Text1"/>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Ako je odgovor potvrdan, navedite uporedni prikaz očekivanih rezultata mjere u pogledu sprečavanja ili smanjenja emisija gasova sa efektom staklene bašte i emisija drugih zagađujućih materija na osnovu vjerodostojnih i detaljnih kvantifikacija.</w:t>
      </w:r>
    </w:p>
    <w:p w14:paraId="3F791532" w14:textId="77777777" w:rsidR="00C9629B" w:rsidRPr="0086255B" w:rsidRDefault="00C9629B" w:rsidP="00C9629B">
      <w:pPr>
        <w:spacing w:before="120" w:after="120"/>
        <w:jc w:val="both"/>
        <w:rPr>
          <w:rFonts w:cstheme="minorHAnsi"/>
          <w:noProof/>
        </w:rPr>
      </w:pPr>
      <w:r w:rsidRPr="0086255B">
        <w:rPr>
          <w:rFonts w:cstheme="minorHAnsi"/>
          <w:noProof/>
        </w:rPr>
        <w:t>Ako je sprečavanje ili smanjenje emisija gasova sa efektom staklene bašte preovladavajući cilj mjere pomoći, pogledajte obrazac o dodatnim podacima za odjeljak 4.1. jer će se njena usklađenost ocijenjivati na osnovu odjeljka 4.1. Međutim, ako je preovladavajući cilj mjere sprečavanje ili smanjenje zagađenja koje nije uzrokovano emisijama gasova sa efektom staklene bašte, usklađenost će se ocijenjivati na osnovu odjeljka 4.5. (tačka 259 CEEAG-a).</w:t>
      </w:r>
    </w:p>
    <w:p w14:paraId="232EE3E0"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58E8D181" w14:textId="77777777" w:rsidR="00C9629B" w:rsidRPr="0086255B" w:rsidRDefault="00C9629B" w:rsidP="00C9629B">
      <w:pPr>
        <w:pStyle w:val="Heading2"/>
        <w:keepLines w:val="0"/>
        <w:numPr>
          <w:ilvl w:val="1"/>
          <w:numId w:val="7"/>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Podsticajni efekat</w:t>
      </w:r>
    </w:p>
    <w:p w14:paraId="76BA267D" w14:textId="77777777" w:rsidR="00C9629B" w:rsidRPr="0086255B" w:rsidRDefault="00C9629B" w:rsidP="00C9629B">
      <w:pPr>
        <w:spacing w:before="120" w:after="120"/>
        <w:jc w:val="both"/>
        <w:rPr>
          <w:rFonts w:cstheme="minorHAnsi"/>
          <w:i/>
          <w:noProof/>
        </w:rPr>
      </w:pPr>
      <w:r w:rsidRPr="0086255B">
        <w:rPr>
          <w:rFonts w:cstheme="minorHAnsi"/>
          <w:i/>
          <w:noProof/>
        </w:rPr>
        <w:t>Za unos podataka u ovom odjeljku vidjeti odjeljak 3.1.2. (tačke od 26 do 32) i 4.5.3. (tačke od 260 do 262) CEEAG-a.</w:t>
      </w:r>
    </w:p>
    <w:p w14:paraId="5E638770" w14:textId="77777777" w:rsidR="00C9629B" w:rsidRPr="0086255B" w:rsidRDefault="00C9629B" w:rsidP="00C9629B">
      <w:pPr>
        <w:pStyle w:val="NumPar1"/>
        <w:numPr>
          <w:ilvl w:val="0"/>
          <w:numId w:val="5"/>
        </w:numPr>
        <w:tabs>
          <w:tab w:val="clear" w:pos="850"/>
        </w:tabs>
        <w:ind w:left="360" w:hanging="360"/>
        <w:rPr>
          <w:rFonts w:asciiTheme="minorHAnsi" w:hAnsiTheme="minorHAnsi" w:cstheme="minorHAnsi"/>
          <w:i/>
          <w:noProof/>
          <w:sz w:val="22"/>
        </w:rPr>
      </w:pPr>
      <w:r w:rsidRPr="0086255B">
        <w:rPr>
          <w:rFonts w:asciiTheme="minorHAnsi" w:hAnsiTheme="minorHAnsi" w:cstheme="minorHAnsi"/>
          <w:noProof/>
          <w:sz w:val="22"/>
        </w:rPr>
        <w:lastRenderedPageBreak/>
        <w:t>Može se smatrati da pomoć olakšava obavljanje ekonomske djelatnosti samo ako ima podsticajni efekat. Kako bi se ocijenila usklađenost sa tačkom 26 CEEAG-a, objasnite na koji način mjera/e „navodi korisnika da promijeni svoje ponašanje odnosno da se uključi u dodatnu ekonomsku djelatnost ili u ekološki prihvatljiviju ekonomsku djelatnost, a koju bez pomoći ne bi obavljao ili bi je obavljao na ograničen ili drugačiji način”</w:t>
      </w:r>
      <w:r w:rsidRPr="0086255B">
        <w:rPr>
          <w:rFonts w:asciiTheme="minorHAnsi" w:hAnsiTheme="minorHAnsi" w:cstheme="minorHAnsi"/>
          <w:i/>
          <w:noProof/>
          <w:sz w:val="22"/>
        </w:rPr>
        <w:t>.</w:t>
      </w:r>
    </w:p>
    <w:p w14:paraId="2B4FC19C"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2DC3430F" w14:textId="77777777" w:rsidR="00C9629B" w:rsidRPr="0086255B" w:rsidRDefault="00C9629B" w:rsidP="00C9629B">
      <w:pPr>
        <w:pStyle w:val="NumPar1"/>
        <w:numPr>
          <w:ilvl w:val="0"/>
          <w:numId w:val="5"/>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U skladu sa tačkom 28 CEEAG-:</w:t>
      </w:r>
    </w:p>
    <w:p w14:paraId="36F05192" w14:textId="77777777" w:rsidR="00C9629B" w:rsidRPr="0086255B" w:rsidRDefault="00C9629B" w:rsidP="00C9629B">
      <w:pPr>
        <w:pStyle w:val="NumPar2"/>
        <w:numPr>
          <w:ilvl w:val="1"/>
          <w:numId w:val="5"/>
        </w:numPr>
        <w:tabs>
          <w:tab w:val="clear" w:pos="850"/>
        </w:tabs>
        <w:ind w:left="576" w:hanging="576"/>
        <w:rPr>
          <w:rFonts w:asciiTheme="minorHAnsi" w:hAnsiTheme="minorHAnsi" w:cstheme="minorHAnsi"/>
          <w:noProof/>
          <w:sz w:val="22"/>
          <w:szCs w:val="22"/>
        </w:rPr>
      </w:pPr>
      <w:r w:rsidRPr="0086255B">
        <w:rPr>
          <w:rFonts w:asciiTheme="minorHAnsi" w:hAnsiTheme="minorHAnsi" w:cstheme="minorHAnsi"/>
          <w:noProof/>
          <w:sz w:val="22"/>
          <w:szCs w:val="22"/>
        </w:rPr>
        <w:t>Dostavite sveobuhvatan opis činjeničnog scenarija za koji se očekuje da će nastati kao rezultat mjere pomoći i vjerovatne uporedne scenarije koji će se dogoditi u odsustvu mjere pomoći</w:t>
      </w:r>
      <w:r w:rsidRPr="0086255B">
        <w:rPr>
          <w:rStyle w:val="FootnoteReference"/>
          <w:rFonts w:asciiTheme="minorHAnsi" w:hAnsiTheme="minorHAnsi" w:cstheme="minorHAnsi"/>
          <w:noProof/>
          <w:sz w:val="22"/>
          <w:szCs w:val="22"/>
        </w:rPr>
        <w:footnoteReference w:id="4"/>
      </w:r>
      <w:r w:rsidRPr="0086255B">
        <w:rPr>
          <w:rFonts w:asciiTheme="minorHAnsi" w:hAnsiTheme="minorHAnsi" w:cstheme="minorHAnsi"/>
          <w:noProof/>
          <w:sz w:val="22"/>
          <w:szCs w:val="22"/>
        </w:rPr>
        <w:t>. Ako očekujete da će pomoć dobiti različite kategorije korisnika, obezbijedite da je uporedni scenario vjerodostojan za svaku od tih kategorija.</w:t>
      </w:r>
    </w:p>
    <w:p w14:paraId="3C760D94" w14:textId="77777777" w:rsidR="00C9629B" w:rsidRPr="0086255B" w:rsidRDefault="00C9629B" w:rsidP="00C9629B">
      <w:pPr>
        <w:pStyle w:val="NumPar2"/>
        <w:tabs>
          <w:tab w:val="clear" w:pos="360"/>
        </w:tabs>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Uzmite u obzir zahtjeve povezane sa uporednim scenariom navedene u tački 266 i tačkama od 226 do 230 CEEAG-a, a naročito sljedeće:</w:t>
      </w:r>
    </w:p>
    <w:p w14:paraId="17F3C1CE" w14:textId="77777777" w:rsidR="00C9629B" w:rsidRPr="0086255B" w:rsidRDefault="00C9629B" w:rsidP="00C9629B">
      <w:pPr>
        <w:pStyle w:val="Point1letter"/>
        <w:numPr>
          <w:ilvl w:val="3"/>
          <w:numId w:val="10"/>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uopšteno, uporedni scenario odgovara ulaganju istog kapaciteta, životnog vijeka i, gdje je to primjenjivo, drugih relevantnih tehničkih karaktersitika kao u slučaju ulaganja koje je ekološki prihvatljivo, ali dovodi do nižeg nivoa zaštite životne sredine;</w:t>
      </w:r>
    </w:p>
    <w:p w14:paraId="7D5EC9E8" w14:textId="77777777" w:rsidR="00C9629B" w:rsidRPr="0086255B" w:rsidRDefault="00C9629B" w:rsidP="00C9629B">
      <w:pPr>
        <w:numPr>
          <w:ilvl w:val="3"/>
          <w:numId w:val="3"/>
        </w:numPr>
        <w:tabs>
          <w:tab w:val="clear" w:pos="1417"/>
        </w:tabs>
        <w:spacing w:before="120" w:after="120" w:line="240" w:lineRule="auto"/>
        <w:ind w:left="720" w:hanging="360"/>
        <w:jc w:val="both"/>
        <w:rPr>
          <w:rFonts w:cstheme="minorHAnsi"/>
          <w:noProof/>
        </w:rPr>
      </w:pPr>
      <w:r w:rsidRPr="0086255B">
        <w:rPr>
          <w:rFonts w:cstheme="minorHAnsi"/>
          <w:noProof/>
        </w:rPr>
        <w:t xml:space="preserve">uporedni scenario može biti i jedan od sljedećih scenarija: </w:t>
      </w:r>
    </w:p>
    <w:p w14:paraId="3874D3D3" w14:textId="77777777" w:rsidR="00C9629B" w:rsidRPr="0086255B" w:rsidRDefault="00C9629B" w:rsidP="00C9629B">
      <w:pPr>
        <w:pStyle w:val="Stylei"/>
        <w:numPr>
          <w:ilvl w:val="0"/>
          <w:numId w:val="11"/>
        </w:numPr>
        <w:ind w:left="1080"/>
        <w:rPr>
          <w:rFonts w:asciiTheme="minorHAnsi" w:hAnsiTheme="minorHAnsi" w:cstheme="minorHAnsi"/>
          <w:noProof/>
          <w:sz w:val="22"/>
        </w:rPr>
      </w:pPr>
      <w:r w:rsidRPr="0086255B">
        <w:rPr>
          <w:rFonts w:asciiTheme="minorHAnsi" w:hAnsiTheme="minorHAnsi" w:cstheme="minorHAnsi"/>
          <w:noProof/>
          <w:sz w:val="22"/>
        </w:rPr>
        <w:t>održavanje postojećih postrojenja ili opreme u funkciji tokom perioda koji odgovara životnom vijeku ulaganja koje je ekološki prihvatljivo. U tom slučaju bi trebalo uzeti u obzir diskontovane troškove održavanja, popravke i modernizacije tokom tog perioda (tačka 227 CEEAG-a);</w:t>
      </w:r>
    </w:p>
    <w:p w14:paraId="74EF19F2" w14:textId="77777777" w:rsidR="00C9629B" w:rsidRPr="0086255B" w:rsidRDefault="00C9629B" w:rsidP="00C9629B">
      <w:pPr>
        <w:numPr>
          <w:ilvl w:val="0"/>
          <w:numId w:val="2"/>
        </w:numPr>
        <w:spacing w:before="120" w:after="120" w:line="240" w:lineRule="auto"/>
        <w:ind w:left="1080"/>
        <w:jc w:val="both"/>
        <w:rPr>
          <w:rFonts w:cstheme="minorHAnsi"/>
          <w:noProof/>
        </w:rPr>
      </w:pPr>
      <w:r w:rsidRPr="0086255B">
        <w:rPr>
          <w:rFonts w:cstheme="minorHAnsi"/>
          <w:noProof/>
        </w:rPr>
        <w:t xml:space="preserve">kasnija zamjena postrojenja ili opreme. U tom slučaju bi trebalo uzeti u obzir diskontovanu vrijednost postrojenja i opreme, a razliku u ekonomskom vijeku trajanja postrojenja ili opreme treba izjednačiti u skladu sa tačkom 228 CEEAG-a; </w:t>
      </w:r>
    </w:p>
    <w:p w14:paraId="13C34005" w14:textId="77777777" w:rsidR="00C9629B" w:rsidRPr="0086255B" w:rsidRDefault="00C9629B" w:rsidP="00C9629B">
      <w:pPr>
        <w:numPr>
          <w:ilvl w:val="0"/>
          <w:numId w:val="2"/>
        </w:numPr>
        <w:spacing w:before="120" w:after="120" w:line="240" w:lineRule="auto"/>
        <w:ind w:left="1080"/>
        <w:jc w:val="both"/>
        <w:rPr>
          <w:rFonts w:cstheme="minorHAnsi"/>
          <w:noProof/>
        </w:rPr>
      </w:pPr>
      <w:r w:rsidRPr="0086255B">
        <w:rPr>
          <w:rFonts w:cstheme="minorHAnsi"/>
          <w:noProof/>
        </w:rPr>
        <w:t>zakup</w:t>
      </w:r>
      <w:r w:rsidRPr="0086255B">
        <w:rPr>
          <w:rFonts w:cstheme="minorHAnsi"/>
          <w:i/>
          <w:noProof/>
        </w:rPr>
        <w:t xml:space="preserve"> (leasing)</w:t>
      </w:r>
      <w:r w:rsidRPr="0086255B">
        <w:rPr>
          <w:rFonts w:cstheme="minorHAnsi"/>
          <w:noProof/>
        </w:rPr>
        <w:t xml:space="preserve"> opreme koja je ekološki manje prihvatljiva i koja bi se upotrebljavala da nema pomoći. U tom slučaju bi trebalo uzeti u obzir diskontovanu vrijednost zakupa takve opreme, u skladu sa tačkom 229 CEEAG-a;</w:t>
      </w:r>
    </w:p>
    <w:p w14:paraId="447BB0E5" w14:textId="77777777" w:rsidR="00C9629B" w:rsidRPr="0086255B" w:rsidRDefault="00C9629B" w:rsidP="00C9629B">
      <w:pPr>
        <w:numPr>
          <w:ilvl w:val="0"/>
          <w:numId w:val="2"/>
        </w:numPr>
        <w:spacing w:before="120" w:after="120" w:line="240" w:lineRule="auto"/>
        <w:ind w:left="1080"/>
        <w:jc w:val="both"/>
        <w:rPr>
          <w:rFonts w:cstheme="minorHAnsi"/>
          <w:noProof/>
        </w:rPr>
      </w:pPr>
      <w:r w:rsidRPr="0086255B">
        <w:rPr>
          <w:rFonts w:cstheme="minorHAnsi"/>
          <w:noProof/>
        </w:rPr>
        <w:t xml:space="preserve">nepostojanje alternativnog projekta ulaganja, posebno ako se ulaganje kojem je dodijeljena pomoć sastoji od dodavanja postrojenja ili opreme postojećim objektma, postrojenjima ili opremi.  </w:t>
      </w:r>
    </w:p>
    <w:p w14:paraId="583E1A0E" w14:textId="77777777" w:rsidR="00C9629B" w:rsidRPr="0086255B" w:rsidRDefault="00C9629B" w:rsidP="00C9629B">
      <w:pPr>
        <w:pStyle w:val="Point3letter"/>
        <w:numPr>
          <w:ilvl w:val="0"/>
          <w:numId w:val="0"/>
        </w:numPr>
        <w:rPr>
          <w:rFonts w:asciiTheme="minorHAnsi" w:hAnsiTheme="minorHAnsi" w:cstheme="minorHAnsi"/>
          <w:sz w:val="22"/>
        </w:rPr>
      </w:pPr>
      <w:r w:rsidRPr="0086255B">
        <w:rPr>
          <w:rFonts w:asciiTheme="minorHAnsi" w:hAnsiTheme="minorHAnsi" w:cstheme="minorHAnsi"/>
          <w:noProof/>
          <w:sz w:val="22"/>
        </w:rPr>
        <w:t>Prilikom opisivanja činjeničnog scenarija i vjerovatnih uporednih scenarija navedite kapacitet, životni vijek trajanja i druge tehničke karakteristike ulaganja, kako za činjenični scenario tako i za uporedni scenario.</w:t>
      </w:r>
    </w:p>
    <w:p w14:paraId="617A7542"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31F14D94" w14:textId="77777777" w:rsidR="00C9629B" w:rsidRPr="0086255B" w:rsidRDefault="00C9629B" w:rsidP="00C9629B">
      <w:pPr>
        <w:pStyle w:val="NumPar2"/>
        <w:numPr>
          <w:ilvl w:val="1"/>
          <w:numId w:val="5"/>
        </w:numPr>
        <w:tabs>
          <w:tab w:val="clear" w:pos="850"/>
        </w:tabs>
        <w:ind w:left="576" w:hanging="576"/>
        <w:rPr>
          <w:rFonts w:asciiTheme="minorHAnsi" w:hAnsiTheme="minorHAnsi" w:cstheme="minorHAnsi"/>
          <w:noProof/>
          <w:sz w:val="22"/>
          <w:szCs w:val="22"/>
        </w:rPr>
      </w:pPr>
      <w:r w:rsidRPr="0086255B">
        <w:rPr>
          <w:rFonts w:asciiTheme="minorHAnsi" w:hAnsiTheme="minorHAnsi" w:cstheme="minorHAnsi"/>
          <w:noProof/>
          <w:sz w:val="22"/>
          <w:szCs w:val="22"/>
        </w:rPr>
        <w:t>Ukratko, ukoliko je primjenjivo, objasnite razloge za izbor vjerovatnog uporednog scenarija s obzirom na predložene različite kategorije korisnika.</w:t>
      </w:r>
    </w:p>
    <w:p w14:paraId="1139F020"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76BDA86E" w14:textId="77777777" w:rsidR="00C9629B" w:rsidRPr="0086255B" w:rsidRDefault="00C9629B" w:rsidP="00C9629B">
      <w:pPr>
        <w:pStyle w:val="NumPar2"/>
        <w:numPr>
          <w:ilvl w:val="1"/>
          <w:numId w:val="5"/>
        </w:numPr>
        <w:ind w:left="576" w:hanging="576"/>
        <w:rPr>
          <w:rFonts w:asciiTheme="minorHAnsi" w:hAnsiTheme="minorHAnsi" w:cstheme="minorHAnsi"/>
          <w:noProof/>
          <w:sz w:val="22"/>
          <w:szCs w:val="22"/>
        </w:rPr>
      </w:pPr>
      <w:r w:rsidRPr="0086255B">
        <w:rPr>
          <w:rFonts w:asciiTheme="minorHAnsi" w:hAnsiTheme="minorHAnsi" w:cstheme="minorHAnsi"/>
          <w:noProof/>
          <w:sz w:val="22"/>
          <w:szCs w:val="22"/>
        </w:rPr>
        <w:t>Kvantifikujte troškove i prihode činjeničnog i uporednog scenarija i gdje je to primjenjivo obrazložite promjenu ponašanja za svaku kategoriju korisnika na osnovu sljedećeg:</w:t>
      </w:r>
    </w:p>
    <w:p w14:paraId="64F375A0" w14:textId="77777777" w:rsidR="00C9629B" w:rsidRPr="0086255B" w:rsidRDefault="00C9629B" w:rsidP="00C9629B">
      <w:pPr>
        <w:pStyle w:val="Point2letter"/>
        <w:tabs>
          <w:tab w:val="clear" w:pos="1984"/>
        </w:tabs>
        <w:ind w:left="720" w:hanging="360"/>
        <w:rPr>
          <w:rFonts w:asciiTheme="minorHAnsi" w:hAnsiTheme="minorHAnsi" w:cstheme="minorHAnsi"/>
          <w:noProof/>
          <w:sz w:val="22"/>
        </w:rPr>
      </w:pPr>
      <w:r w:rsidRPr="0086255B">
        <w:rPr>
          <w:rFonts w:asciiTheme="minorHAnsi" w:hAnsiTheme="minorHAnsi" w:cstheme="minorHAnsi"/>
          <w:noProof/>
          <w:sz w:val="22"/>
        </w:rPr>
        <w:lastRenderedPageBreak/>
        <w:t>odgovarajućeg referentnog projekta</w:t>
      </w:r>
      <w:r w:rsidRPr="0086255B">
        <w:rPr>
          <w:rStyle w:val="FootnoteReference"/>
          <w:rFonts w:asciiTheme="minorHAnsi" w:hAnsiTheme="minorHAnsi" w:cstheme="minorHAnsi"/>
          <w:noProof/>
          <w:sz w:val="22"/>
        </w:rPr>
        <w:footnoteReference w:id="5"/>
      </w:r>
      <w:r w:rsidRPr="0086255B">
        <w:rPr>
          <w:rFonts w:asciiTheme="minorHAnsi" w:hAnsiTheme="minorHAnsi" w:cstheme="minorHAnsi"/>
          <w:noProof/>
          <w:sz w:val="22"/>
        </w:rPr>
        <w:t>, odgovarajućih uporednih scenarija i nastalog finansijskog jaza;</w:t>
      </w:r>
    </w:p>
    <w:p w14:paraId="6AF46A17"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3D96F4EF" w14:textId="77777777" w:rsidR="00C9629B" w:rsidRPr="0086255B" w:rsidRDefault="00C9629B" w:rsidP="00C9629B">
      <w:pPr>
        <w:pStyle w:val="Text2"/>
        <w:spacing w:after="120"/>
        <w:ind w:left="1440"/>
        <w:rPr>
          <w:rFonts w:asciiTheme="minorHAnsi" w:hAnsiTheme="minorHAnsi" w:cstheme="minorHAnsi"/>
          <w:i/>
          <w:iCs/>
          <w:noProof/>
          <w:sz w:val="22"/>
          <w:szCs w:val="22"/>
        </w:rPr>
      </w:pPr>
      <w:r w:rsidRPr="0086255B">
        <w:rPr>
          <w:rFonts w:asciiTheme="minorHAnsi" w:hAnsiTheme="minorHAnsi" w:cstheme="minorHAnsi"/>
          <w:i/>
          <w:noProof/>
          <w:sz w:val="22"/>
          <w:szCs w:val="22"/>
        </w:rPr>
        <w:t>ILI</w:t>
      </w:r>
    </w:p>
    <w:p w14:paraId="633F42F9" w14:textId="77777777" w:rsidR="00C9629B" w:rsidRPr="0086255B" w:rsidRDefault="00C9629B" w:rsidP="00C9629B">
      <w:pPr>
        <w:pStyle w:val="Point0letter"/>
        <w:numPr>
          <w:ilvl w:val="1"/>
          <w:numId w:val="12"/>
        </w:numPr>
        <w:tabs>
          <w:tab w:val="clear" w:pos="850"/>
        </w:tabs>
        <w:ind w:left="720" w:hanging="360"/>
        <w:rPr>
          <w:rFonts w:asciiTheme="minorHAnsi" w:hAnsiTheme="minorHAnsi" w:cstheme="minorHAnsi"/>
          <w:noProof/>
          <w:sz w:val="22"/>
        </w:rPr>
      </w:pPr>
      <w:r w:rsidRPr="0086255B">
        <w:rPr>
          <w:rFonts w:asciiTheme="minorHAnsi" w:hAnsiTheme="minorHAnsi" w:cstheme="minorHAnsi"/>
          <w:noProof/>
          <w:sz w:val="22"/>
        </w:rPr>
        <w:t>odgovarajućih kvantitativnih dokaza zasnovanim na studijama tržišta, planovima investitora, finansijskim izvještajima ili drugim kvantitativnim dokazima, uključujući ponude sličnih projekata u nedavnim uporedivim konkurentnim tenderskim postupcima.</w:t>
      </w:r>
      <w:r w:rsidRPr="0086255B">
        <w:rPr>
          <w:rStyle w:val="FootnoteReference"/>
          <w:rFonts w:asciiTheme="minorHAnsi" w:hAnsiTheme="minorHAnsi" w:cstheme="minorHAnsi"/>
          <w:noProof/>
          <w:sz w:val="22"/>
        </w:rPr>
        <w:footnoteReference w:id="6"/>
      </w:r>
      <w:r w:rsidRPr="0086255B">
        <w:rPr>
          <w:rFonts w:asciiTheme="minorHAnsi" w:hAnsiTheme="minorHAnsi" w:cstheme="minorHAnsi"/>
          <w:noProof/>
          <w:sz w:val="22"/>
        </w:rPr>
        <w:t xml:space="preserve"> </w:t>
      </w:r>
    </w:p>
    <w:p w14:paraId="0CF9359C"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4F8A4B68" w14:textId="77777777" w:rsidR="00C9629B" w:rsidRPr="0086255B" w:rsidRDefault="00C9629B" w:rsidP="00C9629B">
      <w:pPr>
        <w:pStyle w:val="NumPar1"/>
        <w:numPr>
          <w:ilvl w:val="0"/>
          <w:numId w:val="5"/>
        </w:numPr>
        <w:tabs>
          <w:tab w:val="clear" w:pos="850"/>
        </w:tabs>
        <w:ind w:left="360" w:hanging="360"/>
        <w:rPr>
          <w:rFonts w:asciiTheme="minorHAnsi" w:hAnsiTheme="minorHAnsi" w:cstheme="minorHAnsi"/>
          <w:sz w:val="22"/>
        </w:rPr>
      </w:pPr>
      <w:proofErr w:type="spellStart"/>
      <w:r w:rsidRPr="0086255B">
        <w:rPr>
          <w:rFonts w:asciiTheme="minorHAnsi" w:hAnsiTheme="minorHAnsi" w:cstheme="minorHAnsi"/>
          <w:sz w:val="22"/>
        </w:rPr>
        <w:t>Kako</w:t>
      </w:r>
      <w:proofErr w:type="spellEnd"/>
      <w:r w:rsidRPr="0086255B">
        <w:rPr>
          <w:rFonts w:asciiTheme="minorHAnsi" w:hAnsiTheme="minorHAnsi" w:cstheme="minorHAnsi"/>
          <w:sz w:val="22"/>
        </w:rPr>
        <w:t xml:space="preserve"> bi se </w:t>
      </w:r>
      <w:proofErr w:type="spellStart"/>
      <w:r w:rsidRPr="0086255B">
        <w:rPr>
          <w:rFonts w:asciiTheme="minorHAnsi" w:hAnsiTheme="minorHAnsi" w:cstheme="minorHAnsi"/>
          <w:sz w:val="22"/>
        </w:rPr>
        <w:t>dokazala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usklađenost</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sa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tačkama</w:t>
      </w:r>
      <w:proofErr w:type="spellEnd"/>
      <w:r w:rsidRPr="0086255B">
        <w:rPr>
          <w:rFonts w:asciiTheme="minorHAnsi" w:hAnsiTheme="minorHAnsi" w:cstheme="minorHAnsi"/>
          <w:sz w:val="22"/>
        </w:rPr>
        <w:t xml:space="preserve"> od 29 i 31 CEEAG-a:</w:t>
      </w:r>
    </w:p>
    <w:p w14:paraId="077BB54B" w14:textId="77777777" w:rsidR="00C9629B" w:rsidRPr="0086255B" w:rsidRDefault="00C9629B" w:rsidP="00C9629B">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potvrdite da radovi na projektu ili djelatnosti nisu započeli prije nego što je korisnik nacionalnim organima podnio pisani zahtjev za pomoć;</w:t>
      </w:r>
    </w:p>
    <w:p w14:paraId="2FE6AFED"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3FF7DAFC" w14:textId="77777777" w:rsidR="00C9629B" w:rsidRPr="0086255B" w:rsidRDefault="00C9629B" w:rsidP="00C9629B">
      <w:pPr>
        <w:pStyle w:val="Text2"/>
        <w:spacing w:after="120"/>
        <w:ind w:left="1440"/>
        <w:rPr>
          <w:rFonts w:asciiTheme="minorHAnsi" w:hAnsiTheme="minorHAnsi" w:cstheme="minorHAnsi"/>
          <w:noProof/>
          <w:sz w:val="22"/>
          <w:szCs w:val="22"/>
        </w:rPr>
      </w:pPr>
      <w:r w:rsidRPr="0086255B">
        <w:rPr>
          <w:rFonts w:asciiTheme="minorHAnsi" w:hAnsiTheme="minorHAnsi" w:cstheme="minorHAnsi"/>
          <w:i/>
          <w:noProof/>
          <w:sz w:val="22"/>
          <w:szCs w:val="22"/>
        </w:rPr>
        <w:t>ILI</w:t>
      </w:r>
    </w:p>
    <w:p w14:paraId="2298BEC1" w14:textId="77777777" w:rsidR="00C9629B" w:rsidRPr="0086255B" w:rsidRDefault="00C9629B" w:rsidP="00C9629B">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 xml:space="preserve">za projekte koji su započeli prije podnošenja zahtjeva za pomoć, dokažite da je projekt obuhvaćen jednim od izuzetnih slučajeva iz tačke 31 CEEAG-a (podtačke (a), (b) ili (c)). </w:t>
      </w:r>
    </w:p>
    <w:p w14:paraId="58DAB759"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59B8A4E0" w14:textId="77777777" w:rsidR="00C9629B" w:rsidRPr="0086255B" w:rsidRDefault="00C9629B" w:rsidP="00C9629B">
      <w:pPr>
        <w:pStyle w:val="NumPar1"/>
        <w:numPr>
          <w:ilvl w:val="0"/>
          <w:numId w:val="5"/>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biste dokazali usklađenost sa tačkom 30 CEEAG-a, </w:t>
      </w:r>
      <w:r w:rsidRPr="0086255B">
        <w:rPr>
          <w:rFonts w:asciiTheme="minorHAnsi" w:hAnsiTheme="minorHAnsi" w:cstheme="minorHAnsi"/>
          <w:noProof/>
          <w:sz w:val="22"/>
          <w:shd w:val="clear" w:color="auto" w:fill="FFFFFF"/>
        </w:rPr>
        <w:t>potvrdite</w:t>
      </w:r>
      <w:r w:rsidRPr="0086255B">
        <w:rPr>
          <w:rFonts w:asciiTheme="minorHAnsi" w:hAnsiTheme="minorHAnsi" w:cstheme="minorHAnsi"/>
          <w:noProof/>
          <w:sz w:val="22"/>
        </w:rPr>
        <w:t xml:space="preserve"> da zahtjev za pomoć sadrži najmanje ime podnosioca zahtjeva, opis projekta ili djelatnosti, uključujući njihovu lokaciju, i iznos pomoći potrebne za njihovo sprovođenje.</w:t>
      </w:r>
    </w:p>
    <w:p w14:paraId="1B9A1386"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00EBAF9C" w14:textId="77777777" w:rsidR="00C9629B" w:rsidRPr="0086255B" w:rsidRDefault="00C9629B" w:rsidP="00C9629B">
      <w:pPr>
        <w:pStyle w:val="NumPar1"/>
        <w:numPr>
          <w:ilvl w:val="0"/>
          <w:numId w:val="5"/>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tačkama 32, 261 i 262 CEEAG-a:</w:t>
      </w:r>
    </w:p>
    <w:p w14:paraId="6CBCA26D" w14:textId="77777777" w:rsidR="00C9629B" w:rsidRPr="0086255B" w:rsidRDefault="00C9629B" w:rsidP="00C9629B">
      <w:pPr>
        <w:pStyle w:val="Point2letter"/>
        <w:tabs>
          <w:tab w:val="clear" w:pos="1984"/>
        </w:tabs>
        <w:ind w:left="720" w:hanging="360"/>
        <w:rPr>
          <w:rFonts w:asciiTheme="minorHAnsi" w:hAnsiTheme="minorHAnsi" w:cstheme="minorHAnsi"/>
          <w:noProof/>
          <w:sz w:val="22"/>
        </w:rPr>
      </w:pPr>
      <w:r w:rsidRPr="0086255B">
        <w:rPr>
          <w:rFonts w:asciiTheme="minorHAnsi" w:hAnsiTheme="minorHAnsi" w:cstheme="minorHAnsi"/>
          <w:noProof/>
          <w:sz w:val="22"/>
        </w:rPr>
        <w:t>navedite postoje li norme Evropske unije</w:t>
      </w:r>
      <w:r w:rsidRPr="0086255B">
        <w:rPr>
          <w:rStyle w:val="FootnoteReference"/>
          <w:rFonts w:asciiTheme="minorHAnsi" w:hAnsiTheme="minorHAnsi" w:cstheme="minorHAnsi"/>
          <w:noProof/>
          <w:sz w:val="22"/>
          <w:lang w:eastAsia="en-GB"/>
        </w:rPr>
        <w:footnoteReference w:id="7"/>
      </w:r>
      <w:r w:rsidRPr="0086255B">
        <w:rPr>
          <w:rFonts w:asciiTheme="minorHAnsi" w:hAnsiTheme="minorHAnsi" w:cstheme="minorHAnsi"/>
          <w:noProof/>
          <w:sz w:val="22"/>
        </w:rPr>
        <w:t xml:space="preserve"> primjenjive na prijavljene mjere, obavezne nacionalne norme koje su strožije ili ambicioznije od odgovarajućih normi Unije ili obavezne nacionalne norme donesene u nedostatku normi Unije.</w:t>
      </w:r>
    </w:p>
    <w:p w14:paraId="1BB016A1" w14:textId="77777777" w:rsidR="00C9629B" w:rsidRPr="0086255B" w:rsidRDefault="00C9629B" w:rsidP="00C9629B">
      <w:pPr>
        <w:pStyle w:val="Point2letter"/>
        <w:numPr>
          <w:ilvl w:val="0"/>
          <w:numId w:val="0"/>
        </w:numPr>
        <w:ind w:left="360"/>
        <w:rPr>
          <w:rFonts w:asciiTheme="minorHAnsi" w:hAnsiTheme="minorHAnsi" w:cstheme="minorHAnsi"/>
          <w:noProof/>
          <w:sz w:val="22"/>
        </w:rPr>
      </w:pPr>
      <w:r w:rsidRPr="0086255B">
        <w:rPr>
          <w:rFonts w:asciiTheme="minorHAnsi" w:hAnsiTheme="minorHAnsi" w:cstheme="minorHAnsi"/>
          <w:noProof/>
          <w:sz w:val="22"/>
        </w:rPr>
        <w:lastRenderedPageBreak/>
        <w:t>U tom kontekstu, dostavite podatke koji dokazuju podsticajni efekat.</w:t>
      </w:r>
    </w:p>
    <w:p w14:paraId="4D60D436"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16B9FE86" w14:textId="77777777" w:rsidR="00C9629B" w:rsidRPr="0086255B" w:rsidRDefault="00C9629B" w:rsidP="00C9629B">
      <w:pPr>
        <w:pStyle w:val="Point2letter"/>
        <w:tabs>
          <w:tab w:val="clear" w:pos="1984"/>
        </w:tabs>
        <w:ind w:left="720" w:hanging="360"/>
        <w:rPr>
          <w:rFonts w:asciiTheme="minorHAnsi" w:hAnsiTheme="minorHAnsi" w:cstheme="minorHAnsi"/>
          <w:noProof/>
          <w:sz w:val="22"/>
        </w:rPr>
      </w:pPr>
      <w:r w:rsidRPr="0086255B">
        <w:rPr>
          <w:rFonts w:asciiTheme="minorHAnsi" w:hAnsiTheme="minorHAnsi" w:cstheme="minorHAnsi"/>
          <w:noProof/>
          <w:sz w:val="22"/>
        </w:rPr>
        <w:t>ako je odgovarajuća norma Unije već propisana, potvrdite i dokažite da pomoć ima podsticajni efekat jer podstiče ulaganje koje treba sprovesti i završiti najmanje 18 mjeseci prije nego što norma stupi na snagu u skladu sa tačkom 262 CEEAG-a.</w:t>
      </w:r>
    </w:p>
    <w:p w14:paraId="78662B86"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02A0B383" w14:textId="77777777" w:rsidR="00C9629B" w:rsidRPr="0086255B" w:rsidRDefault="00C9629B" w:rsidP="00C9629B">
      <w:pPr>
        <w:pStyle w:val="Heading2"/>
        <w:keepLines w:val="0"/>
        <w:numPr>
          <w:ilvl w:val="1"/>
          <w:numId w:val="7"/>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Nepostojanje povrede bilo koje odgovarajuće odredbe prava Unije</w:t>
      </w:r>
    </w:p>
    <w:p w14:paraId="6A135791" w14:textId="77777777" w:rsidR="00C9629B" w:rsidRPr="0086255B" w:rsidRDefault="00C9629B" w:rsidP="00C9629B">
      <w:pPr>
        <w:spacing w:before="120" w:after="120"/>
        <w:jc w:val="both"/>
        <w:rPr>
          <w:rFonts w:cstheme="minorHAnsi"/>
          <w:i/>
          <w:iCs/>
          <w:noProof/>
        </w:rPr>
      </w:pPr>
      <w:r w:rsidRPr="0086255B">
        <w:rPr>
          <w:rFonts w:cstheme="minorHAnsi"/>
          <w:i/>
          <w:noProof/>
        </w:rPr>
        <w:t xml:space="preserve">Za unos podataka u ovom odjeljku vidjeti odjeljak 3.1.3. (tačka 33) CEEAG-a. </w:t>
      </w:r>
    </w:p>
    <w:p w14:paraId="0313519D" w14:textId="77777777" w:rsidR="00C9629B" w:rsidRPr="0086255B" w:rsidRDefault="00C9629B" w:rsidP="00C9629B">
      <w:pPr>
        <w:pStyle w:val="NumPar1"/>
        <w:numPr>
          <w:ilvl w:val="0"/>
          <w:numId w:val="5"/>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Dostavite podatke koji potvrđuju usklađenost sa odgovarajućim odredbama prava EU-a u skladu sa tačkom 33 CEEAG-a. </w:t>
      </w:r>
    </w:p>
    <w:p w14:paraId="172EA8CA"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740DFC10" w14:textId="77777777" w:rsidR="00C9629B" w:rsidRPr="0086255B" w:rsidRDefault="00C9629B" w:rsidP="00C9629B">
      <w:pPr>
        <w:pStyle w:val="NumPar1"/>
        <w:numPr>
          <w:ilvl w:val="0"/>
          <w:numId w:val="5"/>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se za finansiranje mjera koriste nameti, objasnite da li je potrebno sprovesti procjenu usklađenosti sa čl. 30 i 110 Ugovora. Ako jeste, dokažite na koji je način mjera u skladu sa odredbama čl. 30 i 110 Ugovora. U tom kontekstu, ako se prijavljene mjere finansiraju putem nameta, može se pozvati i na informacije dostavljene u okviru pitanja 5.2. iznad.</w:t>
      </w:r>
    </w:p>
    <w:p w14:paraId="578BE8DF"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2D71A4FB" w14:textId="77777777" w:rsidR="00C9629B" w:rsidRPr="0086255B" w:rsidRDefault="00C9629B" w:rsidP="00C9629B">
      <w:pPr>
        <w:pStyle w:val="Heading1"/>
        <w:keepNext/>
        <w:numPr>
          <w:ilvl w:val="0"/>
          <w:numId w:val="7"/>
        </w:numPr>
        <w:tabs>
          <w:tab w:val="clear" w:pos="850"/>
        </w:tabs>
        <w:spacing w:before="120" w:after="120"/>
        <w:ind w:left="360" w:right="0" w:hanging="360"/>
        <w:jc w:val="both"/>
        <w:rPr>
          <w:rFonts w:asciiTheme="minorHAnsi" w:hAnsiTheme="minorHAnsi" w:cstheme="minorHAnsi"/>
          <w:noProof/>
          <w:sz w:val="22"/>
          <w:szCs w:val="22"/>
        </w:rPr>
      </w:pPr>
      <w:r w:rsidRPr="0086255B">
        <w:rPr>
          <w:rFonts w:asciiTheme="minorHAnsi" w:hAnsiTheme="minorHAnsi" w:cstheme="minorHAnsi"/>
          <w:noProof/>
          <w:sz w:val="22"/>
          <w:szCs w:val="22"/>
        </w:rPr>
        <w:t>Negativni uslov: pomoć ne smije neopravdano uticati na uslove konkurencije i trgovine u mjeri u kojoj bi to bilo suprotno zajedničkom interesu</w:t>
      </w:r>
    </w:p>
    <w:p w14:paraId="7BD2EF39" w14:textId="77777777" w:rsidR="00C9629B" w:rsidRPr="0086255B" w:rsidRDefault="00C9629B" w:rsidP="00C9629B">
      <w:pPr>
        <w:pStyle w:val="Heading2"/>
        <w:keepLines w:val="0"/>
        <w:numPr>
          <w:ilvl w:val="1"/>
          <w:numId w:val="7"/>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 xml:space="preserve">Svođenje narušavanja konkurencije i trgovine na najmanju moguću mjeru </w:t>
      </w:r>
    </w:p>
    <w:p w14:paraId="663046D4" w14:textId="77777777" w:rsidR="00C9629B" w:rsidRPr="0086255B" w:rsidRDefault="00C9629B" w:rsidP="00C9629B">
      <w:pPr>
        <w:pStyle w:val="Heading3"/>
        <w:keepLines w:val="0"/>
        <w:numPr>
          <w:ilvl w:val="2"/>
          <w:numId w:val="7"/>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i/>
          <w:noProof/>
          <w:color w:val="auto"/>
          <w:sz w:val="22"/>
          <w:szCs w:val="22"/>
        </w:rPr>
        <w:t>Neophodnost pomoći</w:t>
      </w:r>
    </w:p>
    <w:p w14:paraId="651A2D39" w14:textId="77777777" w:rsidR="00C9629B" w:rsidRPr="0086255B" w:rsidRDefault="00C9629B" w:rsidP="00C9629B">
      <w:pPr>
        <w:spacing w:before="120" w:after="120"/>
        <w:jc w:val="both"/>
        <w:rPr>
          <w:rFonts w:cstheme="minorHAnsi"/>
          <w:i/>
          <w:noProof/>
        </w:rPr>
      </w:pPr>
      <w:r w:rsidRPr="0086255B">
        <w:rPr>
          <w:rFonts w:cstheme="minorHAnsi"/>
          <w:i/>
          <w:noProof/>
        </w:rPr>
        <w:t xml:space="preserve">Za unos podataka u ovom odjeljku vidjeti odjeljke 3.2.1.1. (tačke od 34 do 38) i 4.5.4.1. (tačka 264) CEEAG-a.  </w:t>
      </w:r>
    </w:p>
    <w:p w14:paraId="3845C75D" w14:textId="77777777" w:rsidR="00C9629B" w:rsidRPr="0086255B" w:rsidRDefault="00C9629B" w:rsidP="00C9629B">
      <w:pPr>
        <w:pStyle w:val="NumPar1"/>
        <w:numPr>
          <w:ilvl w:val="0"/>
          <w:numId w:val="5"/>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Objasnite koje su tržišne nedostatke vaši nadležni organi utvrdili zbog kojih nije moguće postizanje dovoljnog nivoa zaštite životne sredine. Navedite kojoj kategoriji pripadaju ti nedostaci tako što ćete se pozvati na tačku 34 podtačka (a), (b), (c) ili (d) CEEAG-a.</w:t>
      </w:r>
    </w:p>
    <w:p w14:paraId="67FE0496"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1702EB7A" w14:textId="77777777" w:rsidR="00C9629B" w:rsidRPr="0086255B" w:rsidRDefault="00C9629B" w:rsidP="00C9629B">
      <w:pPr>
        <w:pStyle w:val="NumPar1"/>
        <w:numPr>
          <w:ilvl w:val="0"/>
          <w:numId w:val="5"/>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U skladu sa tačkom 35 CEEAG-a, navedite podatke o svim postojećim politikama i mjerama koje su vaši nadležni organi identifikovali, a koje već imaju za cilj otklanjanje utvrđenih regulatornih ili tržišnih nedostataka.</w:t>
      </w:r>
    </w:p>
    <w:p w14:paraId="661059E5"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1C559756" w14:textId="77777777" w:rsidR="00C9629B" w:rsidRPr="0086255B" w:rsidRDefault="00C9629B" w:rsidP="00C9629B">
      <w:pPr>
        <w:pStyle w:val="NumPar1"/>
        <w:numPr>
          <w:ilvl w:val="0"/>
          <w:numId w:val="5"/>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36 CEEAG-a, navedite podatke koji dokazuju da je cilj predmetne državne pomoći efikasno otklanjanje preostalog tržišnog nedostatka, uzimajući u obzir i sve druge politike i mjere koje su već na snazi kako bi se otklonio dio identifikovanih tržišnih nedostataka.</w:t>
      </w:r>
    </w:p>
    <w:p w14:paraId="1A9B7C5C"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59FE9F26" w14:textId="77777777" w:rsidR="00C9629B" w:rsidRPr="0086255B" w:rsidRDefault="00C9629B" w:rsidP="00C9629B">
      <w:pPr>
        <w:pStyle w:val="NumPar1"/>
        <w:numPr>
          <w:ilvl w:val="0"/>
          <w:numId w:val="5"/>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 se dokazala usklađenost sa tačkom 37 CEEAG-a, objasnite da li su, prema saznanjima vaših nadležnih organa, projekti ili djelatnosti slični onima koje obuhvataju prijavljene mjere — u pogledu </w:t>
      </w:r>
      <w:r w:rsidRPr="0086255B">
        <w:rPr>
          <w:rFonts w:asciiTheme="minorHAnsi" w:hAnsiTheme="minorHAnsi" w:cstheme="minorHAnsi"/>
          <w:noProof/>
          <w:sz w:val="22"/>
        </w:rPr>
        <w:lastRenderedPageBreak/>
        <w:t>tehnološkog sadržaja, nivoa rizika i obima — već realizovani unutar Unije pod tržišnim uslovima. Ako je odgovor potvrdan, dostavite dodatne dokaze koji potkrepljuju potrebu za državnom pomoći.</w:t>
      </w:r>
    </w:p>
    <w:p w14:paraId="182C6AD2"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7B0AB0FC" w14:textId="77777777" w:rsidR="00C9629B" w:rsidRPr="0086255B" w:rsidRDefault="00C9629B" w:rsidP="00C9629B">
      <w:pPr>
        <w:pStyle w:val="NumPar1"/>
        <w:numPr>
          <w:ilvl w:val="0"/>
          <w:numId w:val="5"/>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38 CEEAG-a, pozovite se na kvantitativne dokaze koji su već dostavljeni u okviru pitanja 17 iznad.</w:t>
      </w:r>
    </w:p>
    <w:p w14:paraId="6434A450"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52907923" w14:textId="77777777" w:rsidR="00C9629B" w:rsidRPr="0086255B" w:rsidRDefault="00C9629B" w:rsidP="00C9629B">
      <w:pPr>
        <w:pStyle w:val="NumPar1"/>
        <w:numPr>
          <w:ilvl w:val="0"/>
          <w:numId w:val="5"/>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je pomoć u obliku dozvola za emisiju gasova sa efektom staklene bašte, dostavite dokaze koji pokazuju da su ispunjeni sljedeći kumulativni uslovi u skladu sa tačkom 264 CEEAG-a:</w:t>
      </w:r>
    </w:p>
    <w:p w14:paraId="0B841905" w14:textId="77777777" w:rsidR="00C9629B" w:rsidRPr="0086255B" w:rsidRDefault="00C9629B" w:rsidP="00C9629B">
      <w:pPr>
        <w:pStyle w:val="Point1letter"/>
        <w:numPr>
          <w:ilvl w:val="3"/>
          <w:numId w:val="15"/>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prodaja na aukciji dovodi do značajnog povećanja troškova proizvodnje za svaki sektor ili kategoriju pojedinačnih korisnika;</w:t>
      </w:r>
    </w:p>
    <w:p w14:paraId="65C09E78" w14:textId="77777777" w:rsidR="00C9629B" w:rsidRPr="0086255B" w:rsidRDefault="00C9629B" w:rsidP="00C9629B">
      <w:pPr>
        <w:tabs>
          <w:tab w:val="left" w:leader="dot" w:pos="9072"/>
        </w:tabs>
        <w:spacing w:before="120" w:after="120"/>
        <w:ind w:left="567"/>
        <w:jc w:val="both"/>
        <w:rPr>
          <w:rFonts w:cstheme="minorHAnsi"/>
          <w:noProof/>
        </w:rPr>
      </w:pPr>
      <w:r w:rsidRPr="0086255B">
        <w:rPr>
          <w:rFonts w:cstheme="minorHAnsi"/>
          <w:noProof/>
        </w:rPr>
        <w:tab/>
      </w:r>
    </w:p>
    <w:p w14:paraId="298C50A4" w14:textId="77777777" w:rsidR="00C9629B" w:rsidRPr="0086255B" w:rsidRDefault="00C9629B" w:rsidP="00C9629B">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značajno povećanje troškova proizvodnje ne može se prenijeti na kupce, a da to ne dovede do značajnog smanjenja prodaje</w:t>
      </w:r>
      <w:r w:rsidRPr="0086255B">
        <w:rPr>
          <w:rStyle w:val="FootnoteReference"/>
          <w:rFonts w:asciiTheme="minorHAnsi" w:hAnsiTheme="minorHAnsi" w:cstheme="minorHAnsi"/>
          <w:noProof/>
          <w:sz w:val="22"/>
          <w:lang w:eastAsia="en-GB"/>
        </w:rPr>
        <w:footnoteReference w:id="8"/>
      </w:r>
      <w:r w:rsidRPr="0086255B">
        <w:rPr>
          <w:rFonts w:asciiTheme="minorHAnsi" w:hAnsiTheme="minorHAnsi" w:cstheme="minorHAnsi"/>
          <w:noProof/>
          <w:sz w:val="22"/>
        </w:rPr>
        <w:t>;</w:t>
      </w:r>
    </w:p>
    <w:p w14:paraId="06FE5E67" w14:textId="77777777" w:rsidR="00C9629B" w:rsidRPr="0086255B" w:rsidRDefault="00C9629B" w:rsidP="00C9629B">
      <w:pPr>
        <w:tabs>
          <w:tab w:val="left" w:leader="dot" w:pos="9072"/>
        </w:tabs>
        <w:spacing w:before="120" w:after="120"/>
        <w:ind w:left="567"/>
        <w:jc w:val="both"/>
        <w:rPr>
          <w:rFonts w:cstheme="minorHAnsi"/>
          <w:noProof/>
        </w:rPr>
      </w:pPr>
      <w:r w:rsidRPr="0086255B">
        <w:rPr>
          <w:rFonts w:cstheme="minorHAnsi"/>
          <w:noProof/>
        </w:rPr>
        <w:tab/>
      </w:r>
    </w:p>
    <w:p w14:paraId="67783915" w14:textId="77777777" w:rsidR="00C9629B" w:rsidRPr="0086255B" w:rsidRDefault="00C9629B" w:rsidP="00C9629B">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 xml:space="preserve">pojedinačna privredna društva u sektoru nemaju mogućnost da smanje nivo emisija kako bi se cijena sertifikata/dozvola za emisiju gasova sa efektom staklene bašte smanjila na nivo koji je prihvatljiv za ta privredna društva. Ovo se može dokazati upoređivanjem nivoa emisija potencijalnih korisnika sa nivoima emisija postignutima primjenom najbolje raspoložive tehnike i dokazivanjem da je najbolja tehnika u EEA-u upotrijebljena kao referentna vrijednost za nivo dodijeljenih dozvola. </w:t>
      </w:r>
    </w:p>
    <w:p w14:paraId="0A32C628"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58E892BE" w14:textId="77777777" w:rsidR="00C9629B" w:rsidRPr="0086255B" w:rsidRDefault="00C9629B" w:rsidP="00C9629B">
      <w:pPr>
        <w:pStyle w:val="Heading3"/>
        <w:keepLines w:val="0"/>
        <w:numPr>
          <w:ilvl w:val="2"/>
          <w:numId w:val="7"/>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i/>
          <w:noProof/>
          <w:color w:val="auto"/>
          <w:sz w:val="22"/>
          <w:szCs w:val="22"/>
        </w:rPr>
        <w:t>Primjerenost</w:t>
      </w:r>
    </w:p>
    <w:p w14:paraId="6D527549" w14:textId="77777777" w:rsidR="00C9629B" w:rsidRPr="0086255B" w:rsidRDefault="00C9629B" w:rsidP="00C9629B">
      <w:pPr>
        <w:spacing w:before="120" w:after="120"/>
        <w:jc w:val="both"/>
        <w:rPr>
          <w:rFonts w:cstheme="minorHAnsi"/>
          <w:i/>
          <w:noProof/>
        </w:rPr>
      </w:pPr>
      <w:r w:rsidRPr="0086255B">
        <w:rPr>
          <w:rFonts w:cstheme="minorHAnsi"/>
          <w:i/>
          <w:noProof/>
        </w:rPr>
        <w:t xml:space="preserve">Za unos podataka u ovom odjeljku vidjeti odjeljke 3.2.1.2 (tačke od 39 do 46) CEEAG-a.. </w:t>
      </w:r>
    </w:p>
    <w:p w14:paraId="0F6A71CD" w14:textId="77777777" w:rsidR="00C9629B" w:rsidRPr="0086255B" w:rsidRDefault="00C9629B" w:rsidP="00C9629B">
      <w:pPr>
        <w:numPr>
          <w:ilvl w:val="0"/>
          <w:numId w:val="5"/>
        </w:numPr>
        <w:tabs>
          <w:tab w:val="clear" w:pos="850"/>
        </w:tabs>
        <w:spacing w:before="120" w:after="120" w:line="240" w:lineRule="auto"/>
        <w:ind w:left="360" w:hanging="360"/>
        <w:jc w:val="both"/>
        <w:rPr>
          <w:rFonts w:cstheme="minorHAnsi"/>
          <w:noProof/>
        </w:rPr>
      </w:pPr>
      <w:r w:rsidRPr="0086255B">
        <w:rPr>
          <w:rFonts w:cstheme="minorHAnsi"/>
          <w:noProof/>
        </w:rPr>
        <w:t>Kako bi se dokazala usklađenost sa tačkom 40 CEEAG-a, dokažite da ne postoje instrumenti kojima se manje narušava konkurencija i koji su primjereniji od državne pomoći.</w:t>
      </w:r>
    </w:p>
    <w:p w14:paraId="019C77C1"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6AAAD604" w14:textId="77777777" w:rsidR="00C9629B" w:rsidRPr="0086255B" w:rsidRDefault="00C9629B" w:rsidP="00C9629B">
      <w:pPr>
        <w:numPr>
          <w:ilvl w:val="0"/>
          <w:numId w:val="5"/>
        </w:numPr>
        <w:tabs>
          <w:tab w:val="clear" w:pos="850"/>
        </w:tabs>
        <w:spacing w:before="120" w:after="120" w:line="240" w:lineRule="auto"/>
        <w:ind w:left="360" w:hanging="360"/>
        <w:jc w:val="both"/>
        <w:rPr>
          <w:rFonts w:cstheme="minorHAnsi"/>
          <w:noProof/>
        </w:rPr>
      </w:pPr>
      <w:r w:rsidRPr="0086255B">
        <w:rPr>
          <w:rFonts w:cstheme="minorHAnsi"/>
          <w:noProof/>
        </w:rPr>
        <w:t>Kako bi se dokazala usklađenost sa tačkom 41 CEEAG-a, dokažite da je mjera državne pomoći osmišljena tako da ne ugrožava efikasnost drugih mjera kojima se otklanja isti tržišni nedostatak, kao što su mehanizmi koji se zasnovani na tržištu (npr. ETS EU-a).</w:t>
      </w:r>
    </w:p>
    <w:p w14:paraId="36E14C6B"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7C3D7890" w14:textId="77777777" w:rsidR="00C9629B" w:rsidRPr="0086255B" w:rsidRDefault="00C9629B" w:rsidP="00C9629B">
      <w:pPr>
        <w:numPr>
          <w:ilvl w:val="0"/>
          <w:numId w:val="5"/>
        </w:numPr>
        <w:tabs>
          <w:tab w:val="clear" w:pos="850"/>
        </w:tabs>
        <w:spacing w:before="120" w:after="120" w:line="240" w:lineRule="auto"/>
        <w:ind w:left="360" w:hanging="360"/>
        <w:jc w:val="both"/>
        <w:rPr>
          <w:rFonts w:cstheme="minorHAnsi"/>
          <w:noProof/>
        </w:rPr>
      </w:pPr>
      <w:r w:rsidRPr="0086255B">
        <w:rPr>
          <w:rFonts w:cstheme="minorHAnsi"/>
          <w:noProof/>
        </w:rPr>
        <w:t>Kako bi se dokazala usklađenost sa tačkom 42 CEEAG-a, potvrdite da se nijedan korisnik mjera pomoći ne može smatrati odgovornim za zagađenje u skladu sa važećim pravom Unije ili nacionalnim pravom (</w:t>
      </w:r>
      <w:r w:rsidRPr="0086255B">
        <w:rPr>
          <w:rFonts w:cstheme="minorHAnsi"/>
          <w:i/>
          <w:noProof/>
        </w:rPr>
        <w:t>načelo „zagađivač plaća”</w:t>
      </w:r>
      <w:r w:rsidRPr="0086255B">
        <w:rPr>
          <w:rFonts w:cstheme="minorHAnsi"/>
          <w:noProof/>
        </w:rPr>
        <w:t>).</w:t>
      </w:r>
    </w:p>
    <w:p w14:paraId="5D472864"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0DE57CBE" w14:textId="77777777" w:rsidR="00C9629B" w:rsidRPr="0086255B" w:rsidRDefault="00C9629B" w:rsidP="00C9629B">
      <w:pPr>
        <w:numPr>
          <w:ilvl w:val="0"/>
          <w:numId w:val="5"/>
        </w:numPr>
        <w:tabs>
          <w:tab w:val="clear" w:pos="850"/>
        </w:tabs>
        <w:spacing w:before="120" w:after="120" w:line="240" w:lineRule="auto"/>
        <w:ind w:left="360" w:hanging="360"/>
        <w:jc w:val="both"/>
        <w:rPr>
          <w:rFonts w:cstheme="minorHAnsi"/>
          <w:noProof/>
        </w:rPr>
      </w:pPr>
      <w:r w:rsidRPr="0086255B">
        <w:rPr>
          <w:rFonts w:cstheme="minorHAnsi"/>
          <w:noProof/>
        </w:rPr>
        <w:lastRenderedPageBreak/>
        <w:t xml:space="preserve">Kako bi se dokazala usklađenost sa tačkama od 43 do 46 CEEAG-a i dokazala primjerenost pomoći u odnosu na druge instrumente državne pomoći, navedite sljedeće podatke: </w:t>
      </w:r>
    </w:p>
    <w:p w14:paraId="37EF3487" w14:textId="77777777" w:rsidR="00C9629B" w:rsidRPr="0086255B" w:rsidRDefault="00C9629B" w:rsidP="00C9629B">
      <w:pPr>
        <w:pStyle w:val="Point1letter"/>
        <w:numPr>
          <w:ilvl w:val="3"/>
          <w:numId w:val="16"/>
        </w:numPr>
        <w:tabs>
          <w:tab w:val="clear" w:pos="1417"/>
        </w:tabs>
        <w:ind w:left="922" w:hanging="562"/>
        <w:rPr>
          <w:rFonts w:asciiTheme="minorHAnsi" w:hAnsiTheme="minorHAnsi" w:cstheme="minorHAnsi"/>
          <w:noProof/>
          <w:sz w:val="22"/>
        </w:rPr>
      </w:pPr>
      <w:r w:rsidRPr="0086255B">
        <w:rPr>
          <w:rFonts w:asciiTheme="minorHAnsi" w:hAnsiTheme="minorHAnsi" w:cstheme="minorHAnsi"/>
          <w:noProof/>
          <w:sz w:val="22"/>
        </w:rPr>
        <w:t>objasnite zašto su drugi oblici pomoći koji potencijalno manje narušavaju konkurenciju manje primjereni, kako je propisano tačkom 44 CEEAG-a. Oblici pomoći koji potencijalno manje narušavaju konkurenciju mogu biti povratni avansi u poređenju sa direktnim bespovratnim sredstvima, poreske olakšice u poređenju sa smanjenjem poreza ili oblici pomoći koji se zasnivaju na finansijskim instrumentima kao što su dužnički instrumenti u poređenju sa vlasničkim instrumentima, uključujući, na primjer, zajmove sa niskim kamatama ili popuste na kamate, državne garancije ili alternativno obezbjeđivanje finansiranja po povoljnim uslovima;</w:t>
      </w:r>
    </w:p>
    <w:p w14:paraId="6EBEFF06"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304A7D2C" w14:textId="77777777" w:rsidR="00C9629B" w:rsidRPr="0086255B" w:rsidRDefault="00C9629B" w:rsidP="00C9629B">
      <w:pPr>
        <w:numPr>
          <w:ilvl w:val="3"/>
          <w:numId w:val="3"/>
        </w:numPr>
        <w:tabs>
          <w:tab w:val="clear" w:pos="1417"/>
        </w:tabs>
        <w:spacing w:before="120" w:after="120" w:line="240" w:lineRule="auto"/>
        <w:ind w:left="720" w:hanging="360"/>
        <w:jc w:val="both"/>
        <w:rPr>
          <w:rFonts w:cstheme="minorHAnsi"/>
          <w:noProof/>
        </w:rPr>
      </w:pPr>
      <w:r w:rsidRPr="0086255B">
        <w:rPr>
          <w:rFonts w:cstheme="minorHAnsi"/>
          <w:noProof/>
        </w:rPr>
        <w:t>dokažite da je odabrani instrument pomoći primjeren tržišnom nedostatku koji se namjerava otkloniti mjerom pomoći, kako se zahtijeva u tački 45 CEEAG-a;</w:t>
      </w:r>
    </w:p>
    <w:p w14:paraId="34B0BB5B"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7B1058A3" w14:textId="77777777" w:rsidR="00C9629B" w:rsidRPr="0086255B" w:rsidRDefault="00C9629B" w:rsidP="00C9629B">
      <w:pPr>
        <w:numPr>
          <w:ilvl w:val="3"/>
          <w:numId w:val="3"/>
        </w:numPr>
        <w:tabs>
          <w:tab w:val="clear" w:pos="1417"/>
        </w:tabs>
        <w:spacing w:before="120" w:after="120" w:line="240" w:lineRule="auto"/>
        <w:ind w:left="720" w:hanging="360"/>
        <w:jc w:val="both"/>
        <w:rPr>
          <w:rFonts w:cstheme="minorHAnsi"/>
          <w:noProof/>
        </w:rPr>
      </w:pPr>
      <w:r w:rsidRPr="0086255B">
        <w:rPr>
          <w:rFonts w:cstheme="minorHAnsi"/>
          <w:noProof/>
        </w:rPr>
        <w:t xml:space="preserve">objasnite na koji su način </w:t>
      </w:r>
      <w:r w:rsidRPr="0086255B">
        <w:rPr>
          <w:rFonts w:cstheme="minorHAnsi"/>
          <w:noProof/>
          <w:shd w:val="clear" w:color="auto" w:fill="FFFFFF"/>
        </w:rPr>
        <w:t>mjera pomoći i njen oblik primjereni za postizanje cilja mjere na koju se pomoć odnosi, kako je propisano</w:t>
      </w:r>
      <w:r w:rsidRPr="0086255B">
        <w:rPr>
          <w:rFonts w:cstheme="minorHAnsi"/>
          <w:noProof/>
        </w:rPr>
        <w:t xml:space="preserve"> tačkom 46 CEEAG-a.</w:t>
      </w:r>
    </w:p>
    <w:p w14:paraId="3D256977" w14:textId="77777777" w:rsidR="00C9629B" w:rsidRDefault="00C9629B" w:rsidP="00C9629B">
      <w:pPr>
        <w:tabs>
          <w:tab w:val="left" w:leader="dot" w:pos="9072"/>
        </w:tabs>
        <w:spacing w:before="120" w:after="120"/>
        <w:jc w:val="both"/>
        <w:rPr>
          <w:rFonts w:cstheme="minorHAnsi"/>
          <w:noProof/>
        </w:rPr>
      </w:pPr>
      <w:r w:rsidRPr="0086255B">
        <w:rPr>
          <w:rFonts w:cstheme="minorHAnsi"/>
          <w:noProof/>
        </w:rPr>
        <w:tab/>
      </w:r>
    </w:p>
    <w:p w14:paraId="5F4BC4A2"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78C362D9" w14:textId="77777777" w:rsidR="00C9629B" w:rsidRPr="0086255B" w:rsidRDefault="00C9629B" w:rsidP="00C9629B">
      <w:pPr>
        <w:tabs>
          <w:tab w:val="left" w:leader="dot" w:pos="9072"/>
        </w:tabs>
        <w:spacing w:before="120" w:after="120"/>
        <w:jc w:val="both"/>
        <w:rPr>
          <w:rFonts w:cstheme="minorHAnsi"/>
          <w:noProof/>
        </w:rPr>
      </w:pPr>
    </w:p>
    <w:p w14:paraId="7AB42387" w14:textId="77777777" w:rsidR="00C9629B" w:rsidRPr="0086255B" w:rsidRDefault="00C9629B" w:rsidP="00C9629B">
      <w:pPr>
        <w:pStyle w:val="Heading3"/>
        <w:keepLines w:val="0"/>
        <w:numPr>
          <w:ilvl w:val="2"/>
          <w:numId w:val="7"/>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i/>
          <w:noProof/>
          <w:color w:val="auto"/>
          <w:sz w:val="22"/>
          <w:szCs w:val="22"/>
        </w:rPr>
        <w:t>Proporcionalnost</w:t>
      </w:r>
    </w:p>
    <w:p w14:paraId="6BC3E641" w14:textId="77777777" w:rsidR="00C9629B" w:rsidRPr="0086255B" w:rsidRDefault="00C9629B" w:rsidP="00C9629B">
      <w:pPr>
        <w:spacing w:before="120" w:after="120"/>
        <w:jc w:val="both"/>
        <w:rPr>
          <w:rFonts w:cstheme="minorHAnsi"/>
          <w:i/>
          <w:noProof/>
        </w:rPr>
      </w:pPr>
      <w:r w:rsidRPr="0086255B">
        <w:rPr>
          <w:rFonts w:cstheme="minorHAnsi"/>
          <w:i/>
          <w:noProof/>
        </w:rPr>
        <w:t>Za unos podataka u ovom odjeljku vidjeti odjeljke 3.2.1.3. (tačke od 47 do 57) i 4.5.4.2. (tačke od 265 do 273) CEEAG-a. Napominjemo da su odjeljci 2.1.3.2., 2.1.3.3. i 2.1.3.4. alternativne opcije. Odgovorite samo na odgovarajući odjeljak u zavisnosti od strukture predložene mjere. Za pomoć dodijeljenu u obliku dozvola za emisiju gasova sa efektom staklene bašte kojima se može trgovati odgovorite i na pitanje 33 (odjeljak 2.1.3.1.).</w:t>
      </w:r>
    </w:p>
    <w:p w14:paraId="55654153" w14:textId="77777777" w:rsidR="00C9629B" w:rsidRPr="0086255B" w:rsidRDefault="00C9629B" w:rsidP="00C9629B">
      <w:pPr>
        <w:pStyle w:val="Heading4"/>
        <w:keepLines w:val="0"/>
        <w:numPr>
          <w:ilvl w:val="3"/>
          <w:numId w:val="7"/>
        </w:numPr>
        <w:tabs>
          <w:tab w:val="clear" w:pos="850"/>
        </w:tabs>
        <w:spacing w:before="120" w:after="120"/>
        <w:ind w:left="720" w:hanging="72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Proporcionalnost pomoći dodijeljene u obliku dozvola za emisiju gasova sa efektom staklene bašte</w:t>
      </w:r>
    </w:p>
    <w:p w14:paraId="2887F4C8" w14:textId="77777777" w:rsidR="00C9629B" w:rsidRPr="0086255B" w:rsidRDefault="00C9629B" w:rsidP="00C9629B">
      <w:pPr>
        <w:pStyle w:val="NumPar1"/>
        <w:numPr>
          <w:ilvl w:val="0"/>
          <w:numId w:val="5"/>
        </w:numPr>
        <w:ind w:left="360" w:hanging="360"/>
        <w:rPr>
          <w:rFonts w:asciiTheme="minorHAnsi" w:hAnsiTheme="minorHAnsi" w:cstheme="minorHAnsi"/>
          <w:noProof/>
          <w:sz w:val="22"/>
        </w:rPr>
      </w:pPr>
      <w:r w:rsidRPr="0086255B">
        <w:rPr>
          <w:rFonts w:asciiTheme="minorHAnsi" w:hAnsiTheme="minorHAnsi" w:cstheme="minorHAnsi"/>
          <w:noProof/>
          <w:sz w:val="22"/>
        </w:rPr>
        <w:t>Ako je pomoć u obliku dozvola za emisiju gasova sa efektom staklene bašte, u skladu sa tačkom 273 objasnite kako:</w:t>
      </w:r>
    </w:p>
    <w:p w14:paraId="02C65827" w14:textId="77777777" w:rsidR="00C9629B" w:rsidRPr="0086255B" w:rsidRDefault="00C9629B" w:rsidP="00C9629B">
      <w:pPr>
        <w:pStyle w:val="Point1letter"/>
        <w:numPr>
          <w:ilvl w:val="3"/>
          <w:numId w:val="17"/>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 xml:space="preserve">će se raspodjela sprovoditi na transparentan način, na osnovu objektivnih kriterijuma i izvora podataka najvišeg mogućeg kvaliteta; </w:t>
      </w:r>
    </w:p>
    <w:p w14:paraId="0E308C30" w14:textId="77777777" w:rsidR="00C9629B" w:rsidRPr="0086255B" w:rsidRDefault="00C9629B" w:rsidP="00C9629B">
      <w:pPr>
        <w:tabs>
          <w:tab w:val="left" w:leader="dot" w:pos="9072"/>
        </w:tabs>
        <w:spacing w:before="120" w:after="120"/>
        <w:ind w:left="567"/>
        <w:jc w:val="both"/>
        <w:rPr>
          <w:rFonts w:cstheme="minorHAnsi"/>
          <w:noProof/>
        </w:rPr>
      </w:pPr>
      <w:r w:rsidRPr="0086255B">
        <w:rPr>
          <w:rFonts w:cstheme="minorHAnsi"/>
          <w:noProof/>
        </w:rPr>
        <w:tab/>
      </w:r>
    </w:p>
    <w:p w14:paraId="777ED3DF" w14:textId="77777777" w:rsidR="00C9629B" w:rsidRPr="0086255B" w:rsidRDefault="00C9629B" w:rsidP="00C9629B">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ukupan broj dozvola ili odobrenja za emisiju gasova sa efektom staklene bašte dodijeljenih svakom privrednom društvu po cijeni nižoj od njihove tržišne vrijednosti neće biti veći od njihovih očekivanih potreba, procijenjenih na osnovu slučaja da ne postoji sistem trgovanja emisijama.</w:t>
      </w:r>
    </w:p>
    <w:p w14:paraId="5792F8F6" w14:textId="77777777" w:rsidR="00C9629B" w:rsidRPr="0086255B" w:rsidRDefault="00C9629B" w:rsidP="00C9629B">
      <w:pPr>
        <w:tabs>
          <w:tab w:val="left" w:leader="dot" w:pos="9072"/>
        </w:tabs>
        <w:spacing w:before="120" w:after="120"/>
        <w:ind w:left="567"/>
        <w:jc w:val="both"/>
        <w:rPr>
          <w:rFonts w:cstheme="minorHAnsi"/>
          <w:noProof/>
        </w:rPr>
      </w:pPr>
      <w:r w:rsidRPr="0086255B">
        <w:rPr>
          <w:rFonts w:cstheme="minorHAnsi"/>
          <w:noProof/>
        </w:rPr>
        <w:tab/>
      </w:r>
    </w:p>
    <w:p w14:paraId="3C65E563" w14:textId="77777777" w:rsidR="00C9629B" w:rsidRPr="0086255B" w:rsidRDefault="00C9629B" w:rsidP="00C9629B">
      <w:pPr>
        <w:pStyle w:val="Heading4"/>
        <w:keepLines w:val="0"/>
        <w:numPr>
          <w:ilvl w:val="3"/>
          <w:numId w:val="7"/>
        </w:numPr>
        <w:tabs>
          <w:tab w:val="clear" w:pos="850"/>
        </w:tabs>
        <w:spacing w:before="120" w:after="120"/>
        <w:ind w:left="720" w:hanging="72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lastRenderedPageBreak/>
        <w:t>Proporcionalnost pomoći zasnovana na intezitetima pomoći utvrđenim u tačkama od 265 do 273 CEEAG-a.</w:t>
      </w:r>
    </w:p>
    <w:p w14:paraId="2C1DCFA6" w14:textId="77777777" w:rsidR="00C9629B" w:rsidRPr="0086255B" w:rsidRDefault="00C9629B" w:rsidP="00C9629B">
      <w:pPr>
        <w:numPr>
          <w:ilvl w:val="0"/>
          <w:numId w:val="5"/>
        </w:numPr>
        <w:tabs>
          <w:tab w:val="clear" w:pos="850"/>
        </w:tabs>
        <w:spacing w:before="120" w:after="120" w:line="240" w:lineRule="auto"/>
        <w:ind w:left="360" w:hanging="360"/>
        <w:jc w:val="both"/>
        <w:rPr>
          <w:rFonts w:cstheme="minorHAnsi"/>
          <w:noProof/>
        </w:rPr>
      </w:pPr>
      <w:r w:rsidRPr="0086255B">
        <w:rPr>
          <w:rFonts w:cstheme="minorHAnsi"/>
          <w:noProof/>
        </w:rPr>
        <w:t>Za opis opravdanih troškova u okviru mjere navedite dodatne troškove ulaganja koji su direktno povezani sa postizanjem višeg nivoa zaštite životne sredine. U tu svrhu vidjeti i relevantni uporedni scenario, kao je utvrđen u odgovoru na pitanje 17, kao i tačku 266 i tačke od 226 do 230 CEEAG-a.</w:t>
      </w:r>
    </w:p>
    <w:p w14:paraId="0EB3CE20"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22F76BA8" w14:textId="77777777" w:rsidR="00C9629B" w:rsidRPr="0086255B" w:rsidRDefault="00C9629B" w:rsidP="00C9629B">
      <w:pPr>
        <w:numPr>
          <w:ilvl w:val="0"/>
          <w:numId w:val="5"/>
        </w:numPr>
        <w:tabs>
          <w:tab w:val="clear" w:pos="850"/>
        </w:tabs>
        <w:spacing w:before="120" w:after="120" w:line="240" w:lineRule="auto"/>
        <w:ind w:left="360" w:hanging="360"/>
        <w:jc w:val="both"/>
        <w:rPr>
          <w:rFonts w:cstheme="minorHAnsi"/>
          <w:noProof/>
        </w:rPr>
      </w:pPr>
      <w:r w:rsidRPr="0086255B">
        <w:rPr>
          <w:rFonts w:cstheme="minorHAnsi"/>
          <w:noProof/>
        </w:rPr>
        <w:t>Objasnite na koji način će se utvrditi i provjeriti troškovi ulaganja iz činjeničnog scenarija i scenarija koji je ekološki manje prihvatljiv.</w:t>
      </w:r>
    </w:p>
    <w:p w14:paraId="08E9D132"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0D0B1162" w14:textId="77777777" w:rsidR="00C9629B" w:rsidRPr="0086255B" w:rsidRDefault="00C9629B" w:rsidP="00C9629B">
      <w:pPr>
        <w:pStyle w:val="NumPar1"/>
        <w:numPr>
          <w:ilvl w:val="0"/>
          <w:numId w:val="5"/>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Navedite maksimalne intenzitete pomoći koji se primjenjuju u okviru mjere i navedite da li se primjenjuju bilo kakva povećanja (kako je opisano u tačkama od 267 do 270 CEEAG-a).</w:t>
      </w:r>
      <w:r w:rsidRPr="0086255B">
        <w:rPr>
          <w:rFonts w:asciiTheme="minorHAnsi" w:hAnsiTheme="minorHAnsi" w:cstheme="minorHAnsi"/>
          <w:noProof/>
          <w:sz w:val="22"/>
        </w:rPr>
        <w:tab/>
      </w:r>
    </w:p>
    <w:p w14:paraId="7CA68223"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1ADB78FF" w14:textId="77777777" w:rsidR="00C9629B" w:rsidRPr="0086255B" w:rsidRDefault="00C9629B" w:rsidP="00C9629B">
      <w:pPr>
        <w:numPr>
          <w:ilvl w:val="0"/>
          <w:numId w:val="5"/>
        </w:numPr>
        <w:tabs>
          <w:tab w:val="clear" w:pos="850"/>
        </w:tabs>
        <w:spacing w:before="120" w:after="120" w:line="240" w:lineRule="auto"/>
        <w:ind w:left="360" w:hanging="360"/>
        <w:jc w:val="both"/>
        <w:rPr>
          <w:rFonts w:cstheme="minorHAnsi"/>
          <w:noProof/>
        </w:rPr>
      </w:pPr>
      <w:r w:rsidRPr="0086255B">
        <w:rPr>
          <w:rFonts w:cstheme="minorHAnsi"/>
          <w:noProof/>
        </w:rPr>
        <w:t xml:space="preserve">Za aktivnosti povezane sa ekološkim inovacijama dokažite da su ispunjeni kumulativni uslovi navedeni u nastavku (tačka 270 CEEAG-a): </w:t>
      </w:r>
    </w:p>
    <w:p w14:paraId="70BD80E9" w14:textId="77777777" w:rsidR="00C9629B" w:rsidRPr="0086255B" w:rsidRDefault="00C9629B" w:rsidP="00C9629B">
      <w:pPr>
        <w:pStyle w:val="Point1letter"/>
        <w:numPr>
          <w:ilvl w:val="3"/>
          <w:numId w:val="18"/>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djelatnost ekoloških inovacija mora biti nova ili značajno poboljšana u poređenju sa najsavremenijim dostignućima u toj industriji u Uniji</w:t>
      </w:r>
      <w:r w:rsidRPr="0086255B">
        <w:rPr>
          <w:rFonts w:asciiTheme="minorHAnsi" w:hAnsiTheme="minorHAnsi" w:cstheme="minorHAnsi"/>
          <w:noProof/>
          <w:sz w:val="22"/>
          <w:vertAlign w:val="superscript"/>
        </w:rPr>
        <w:footnoteReference w:id="9"/>
      </w:r>
      <w:r w:rsidRPr="0086255B">
        <w:rPr>
          <w:rFonts w:asciiTheme="minorHAnsi" w:hAnsiTheme="minorHAnsi" w:cstheme="minorHAnsi"/>
          <w:noProof/>
          <w:sz w:val="22"/>
        </w:rPr>
        <w:t>;</w:t>
      </w:r>
    </w:p>
    <w:p w14:paraId="31076647" w14:textId="77777777" w:rsidR="00C9629B" w:rsidRPr="0086255B" w:rsidRDefault="00C9629B" w:rsidP="00C9629B">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očekivana korist za životnu sredinu znatno je veća od poboljšanja koje proizlazi iz opšteg tehnološkog napretka u uporedivim djelatnostima</w:t>
      </w:r>
      <w:r w:rsidRPr="0086255B">
        <w:rPr>
          <w:rFonts w:asciiTheme="minorHAnsi" w:hAnsiTheme="minorHAnsi" w:cstheme="minorHAnsi"/>
          <w:noProof/>
          <w:sz w:val="22"/>
          <w:vertAlign w:val="superscript"/>
        </w:rPr>
        <w:footnoteReference w:id="10"/>
      </w:r>
      <w:r w:rsidRPr="0086255B">
        <w:rPr>
          <w:rFonts w:asciiTheme="minorHAnsi" w:hAnsiTheme="minorHAnsi" w:cstheme="minorHAnsi"/>
          <w:noProof/>
          <w:sz w:val="22"/>
        </w:rPr>
        <w:t>;</w:t>
      </w:r>
    </w:p>
    <w:p w14:paraId="03EB808C" w14:textId="77777777" w:rsidR="00C9629B" w:rsidRPr="0086255B" w:rsidRDefault="00C9629B" w:rsidP="00C9629B">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inovativna priroda djelatnosti uključuje jasan stepen rizika u tehnološkom, tržišnom ili finansijskom smislu, koji je veći od rizika koji se uobičajeno pripisuje uporedivim neinovativnim djelatnostima</w:t>
      </w:r>
      <w:r w:rsidRPr="0086255B">
        <w:rPr>
          <w:rFonts w:asciiTheme="minorHAnsi" w:hAnsiTheme="minorHAnsi" w:cstheme="minorHAnsi"/>
          <w:noProof/>
          <w:sz w:val="22"/>
          <w:vertAlign w:val="superscript"/>
        </w:rPr>
        <w:footnoteReference w:id="11"/>
      </w:r>
      <w:r w:rsidRPr="0086255B">
        <w:rPr>
          <w:rFonts w:asciiTheme="minorHAnsi" w:hAnsiTheme="minorHAnsi" w:cstheme="minorHAnsi"/>
          <w:noProof/>
          <w:sz w:val="22"/>
        </w:rPr>
        <w:t>.</w:t>
      </w:r>
    </w:p>
    <w:p w14:paraId="7CAF2AA9"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67049140" w14:textId="77777777" w:rsidR="00C9629B" w:rsidRPr="0086255B" w:rsidRDefault="00C9629B" w:rsidP="00C9629B">
      <w:pPr>
        <w:numPr>
          <w:ilvl w:val="0"/>
          <w:numId w:val="5"/>
        </w:numPr>
        <w:tabs>
          <w:tab w:val="clear" w:pos="850"/>
        </w:tabs>
        <w:spacing w:before="120" w:after="120" w:line="240" w:lineRule="auto"/>
        <w:ind w:left="360" w:hanging="360"/>
        <w:jc w:val="both"/>
        <w:rPr>
          <w:rFonts w:cstheme="minorHAnsi"/>
          <w:noProof/>
        </w:rPr>
      </w:pPr>
      <w:r w:rsidRPr="0086255B">
        <w:rPr>
          <w:rFonts w:cstheme="minorHAnsi"/>
          <w:noProof/>
        </w:rPr>
        <w:t xml:space="preserve">Ako se odstupajući od tačaka od 267 do 270 CEEAG-a smatra da je potrebna pomoć koja prelazi maksimalne intenzitete pomoći utvrđene u odjeljku 4.5.4.2., navedite nivo pomoći koja se smatra potrebnom i obrazložite je na osnovu analize finansijskog jaza za referentne projekte u činjeničnom i uporednom scenariju kako je utvrđeno u odgovoru na pitanje 17 tačka (c) iznad, u skladu sa tačkama 51 i 52 CEEAG-a. </w:t>
      </w:r>
    </w:p>
    <w:p w14:paraId="354527D5" w14:textId="77777777" w:rsidR="00C9629B" w:rsidRPr="0086255B" w:rsidRDefault="00C9629B" w:rsidP="00C9629B">
      <w:pPr>
        <w:spacing w:before="120" w:after="120"/>
        <w:ind w:left="360"/>
        <w:jc w:val="both"/>
        <w:rPr>
          <w:rFonts w:cstheme="minorHAnsi"/>
          <w:noProof/>
        </w:rPr>
      </w:pPr>
      <w:r w:rsidRPr="0086255B">
        <w:rPr>
          <w:rFonts w:cstheme="minorHAnsi"/>
          <w:noProof/>
        </w:rPr>
        <w:lastRenderedPageBreak/>
        <w:t>Za potrebe ove analize finansijskog jaza dostavite za činjenične scenarije i realne uporedne scenarije</w:t>
      </w:r>
      <w:r w:rsidRPr="0086255B">
        <w:rPr>
          <w:rFonts w:cstheme="minorHAnsi"/>
          <w:noProof/>
          <w:vertAlign w:val="superscript"/>
        </w:rPr>
        <w:footnoteReference w:id="12"/>
      </w:r>
      <w:r w:rsidRPr="0086255B">
        <w:rPr>
          <w:rFonts w:cstheme="minorHAnsi"/>
          <w:noProof/>
        </w:rPr>
        <w:t xml:space="preserve"> utvrđene u odgovoru na pitanje 17 tačka (c) iznad, kvantitativnu procjenu svih glavnih troškova i prihoda, procijenjeni ponderisani prosječni trošak kapitala (WACC) korisnika (ili referentnih projekata) u svrhu diskontovanja budućih novčanih tokova, kao i neto sadašnju vrijednost za činjenični i uporedni scenario tokom životnog vijeka projekta/referentnog projekta. </w:t>
      </w:r>
    </w:p>
    <w:p w14:paraId="3915D937" w14:textId="77777777" w:rsidR="00C9629B" w:rsidRPr="0086255B" w:rsidRDefault="00C9629B" w:rsidP="00C9629B">
      <w:pPr>
        <w:pStyle w:val="Point2letter"/>
        <w:tabs>
          <w:tab w:val="clear" w:pos="1984"/>
        </w:tabs>
        <w:ind w:left="720" w:hanging="360"/>
        <w:rPr>
          <w:rFonts w:asciiTheme="minorHAnsi" w:hAnsiTheme="minorHAnsi" w:cstheme="minorHAnsi"/>
          <w:noProof/>
          <w:sz w:val="22"/>
        </w:rPr>
      </w:pPr>
      <w:r w:rsidRPr="0086255B">
        <w:rPr>
          <w:rFonts w:asciiTheme="minorHAnsi" w:hAnsiTheme="minorHAnsi" w:cstheme="minorHAnsi"/>
          <w:noProof/>
          <w:sz w:val="22"/>
        </w:rPr>
        <w:t>dostavite te podatke u prilogu ovog obrasca prijave (u Excel fajlu u kojem su vidljive sve formule);</w:t>
      </w:r>
    </w:p>
    <w:p w14:paraId="163AEDB9"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6DBE8468" w14:textId="77777777" w:rsidR="00C9629B" w:rsidRPr="0086255B" w:rsidRDefault="00C9629B" w:rsidP="00C9629B">
      <w:pPr>
        <w:pStyle w:val="Point2letter"/>
        <w:tabs>
          <w:tab w:val="clear" w:pos="1984"/>
        </w:tabs>
        <w:ind w:left="720" w:hanging="360"/>
        <w:rPr>
          <w:rFonts w:asciiTheme="minorHAnsi" w:hAnsiTheme="minorHAnsi" w:cstheme="minorHAnsi"/>
          <w:noProof/>
          <w:sz w:val="22"/>
        </w:rPr>
      </w:pPr>
      <w:r w:rsidRPr="0086255B">
        <w:rPr>
          <w:rFonts w:asciiTheme="minorHAnsi" w:hAnsiTheme="minorHAnsi" w:cstheme="minorHAnsi"/>
          <w:noProof/>
          <w:sz w:val="22"/>
        </w:rPr>
        <w:t>navedite detaljne podatke o pretpostavkama, metodologijama, obrazloženjima i glavnim izvorima koji se upotrebljavaju za svaki aspekt kvantifikacije troškova i prihoda u činjeničnom scenariju i vjerovatnom uporednom scenariju (npr. navedite pretpostavke upotrijebljene za utvrđivanje tih scenarija kao i izvor/obrazloženje za te pretpostavke);</w:t>
      </w:r>
    </w:p>
    <w:p w14:paraId="40EA7E72"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7F01AE35" w14:textId="77777777" w:rsidR="00C9629B" w:rsidRPr="0086255B" w:rsidRDefault="00C9629B" w:rsidP="00C9629B">
      <w:pPr>
        <w:pStyle w:val="Point0letter"/>
        <w:numPr>
          <w:ilvl w:val="1"/>
          <w:numId w:val="3"/>
        </w:numPr>
        <w:tabs>
          <w:tab w:val="clear" w:pos="850"/>
        </w:tabs>
        <w:ind w:left="720" w:hanging="360"/>
        <w:rPr>
          <w:rFonts w:asciiTheme="minorHAnsi" w:hAnsiTheme="minorHAnsi" w:cstheme="minorHAnsi"/>
          <w:noProof/>
          <w:sz w:val="22"/>
        </w:rPr>
      </w:pPr>
      <w:r w:rsidRPr="0086255B">
        <w:rPr>
          <w:rFonts w:asciiTheme="minorHAnsi" w:hAnsiTheme="minorHAnsi" w:cstheme="minorHAnsi"/>
          <w:noProof/>
          <w:sz w:val="22"/>
          <w:shd w:val="clear" w:color="auto" w:fill="FFFFFF"/>
        </w:rPr>
        <w:t>u slučajevima individualne pomoći i šema koji su namijenjeni vrlo ograničenom broju korisnika država članica mora da dostavi propratne dokaze na nivou detaljnog poslovnog plana projekta</w:t>
      </w:r>
      <w:r w:rsidRPr="0086255B">
        <w:rPr>
          <w:rFonts w:asciiTheme="minorHAnsi" w:hAnsiTheme="minorHAnsi" w:cstheme="minorHAnsi"/>
          <w:noProof/>
          <w:sz w:val="22"/>
        </w:rPr>
        <w:t>.</w:t>
      </w:r>
    </w:p>
    <w:p w14:paraId="7E851C70" w14:textId="77777777" w:rsidR="00C9629B" w:rsidRPr="0086255B" w:rsidRDefault="00C9629B" w:rsidP="00C9629B">
      <w:pPr>
        <w:spacing w:before="120" w:after="120"/>
        <w:ind w:left="360"/>
        <w:jc w:val="both"/>
        <w:rPr>
          <w:rFonts w:cstheme="minorHAnsi"/>
          <w:noProof/>
          <w:shd w:val="clear" w:color="auto" w:fill="FFFFFF"/>
        </w:rPr>
      </w:pPr>
      <w:r w:rsidRPr="0086255B">
        <w:rPr>
          <w:rFonts w:cstheme="minorHAnsi"/>
          <w:noProof/>
          <w:shd w:val="clear" w:color="auto" w:fill="FFFFFF"/>
        </w:rPr>
        <w:t>U slučajevima šema pomoći, država članica mora da dostavi propratne dokaze na osnovu jednog ili više referentnih projekata.</w:t>
      </w:r>
    </w:p>
    <w:p w14:paraId="53A0F830"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615E1AE2" w14:textId="77777777" w:rsidR="00C9629B" w:rsidRPr="0086255B" w:rsidRDefault="00C9629B" w:rsidP="00C9629B">
      <w:pPr>
        <w:pStyle w:val="Point0letter"/>
        <w:numPr>
          <w:ilvl w:val="1"/>
          <w:numId w:val="3"/>
        </w:numPr>
        <w:tabs>
          <w:tab w:val="clear" w:pos="850"/>
        </w:tabs>
        <w:ind w:left="720" w:hanging="360"/>
        <w:rPr>
          <w:rFonts w:asciiTheme="minorHAnsi" w:hAnsiTheme="minorHAnsi" w:cstheme="minorHAnsi"/>
          <w:noProof/>
          <w:sz w:val="22"/>
        </w:rPr>
      </w:pPr>
      <w:r w:rsidRPr="0086255B">
        <w:rPr>
          <w:rFonts w:asciiTheme="minorHAnsi" w:hAnsiTheme="minorHAnsi" w:cstheme="minorHAnsi"/>
          <w:noProof/>
          <w:sz w:val="22"/>
        </w:rPr>
        <w:t>obrascu prijave možete priložiti i dokumente navedene u fusnoti 39 CEEAG-a. Dokumenta upravnih odbora mogu biti posebno korisna za individualne mjere ili šeme pomoći namijenjene vrlo ograničenom broju korisnika. Ako obrascu prijave prilažete takve dokumente, u nastavku navedite popis tih dokumenata i navedite autora, datum izrade i kontekst u kojem su upotrijebljeni.</w:t>
      </w:r>
    </w:p>
    <w:p w14:paraId="723A3AF2"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3EF456DE" w14:textId="77777777" w:rsidR="00C9629B" w:rsidRPr="0086255B" w:rsidRDefault="00C9629B" w:rsidP="00C9629B">
      <w:pPr>
        <w:numPr>
          <w:ilvl w:val="0"/>
          <w:numId w:val="5"/>
        </w:numPr>
        <w:tabs>
          <w:tab w:val="clear" w:pos="850"/>
        </w:tabs>
        <w:spacing w:before="120" w:after="120" w:line="240" w:lineRule="auto"/>
        <w:ind w:left="360" w:hanging="360"/>
        <w:jc w:val="both"/>
        <w:rPr>
          <w:rFonts w:cstheme="minorHAnsi"/>
          <w:noProof/>
        </w:rPr>
      </w:pPr>
      <w:r w:rsidRPr="0086255B">
        <w:rPr>
          <w:rFonts w:cstheme="minorHAnsi"/>
          <w:noProof/>
        </w:rPr>
        <w:t xml:space="preserve">Dokažite i da primjena većeg intenziteta pomoći utvrđenog kako je navedeno u pitanju 38 ne bi dovela do toga da pomoć premaši finansijski jaz.  </w:t>
      </w:r>
    </w:p>
    <w:p w14:paraId="3EB54D5A"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4C655335" w14:textId="77777777" w:rsidR="00C9629B" w:rsidRPr="0086255B" w:rsidRDefault="00C9629B" w:rsidP="00C9629B">
      <w:pPr>
        <w:pStyle w:val="NumPar1"/>
        <w:numPr>
          <w:ilvl w:val="0"/>
          <w:numId w:val="5"/>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se primjenjuje tačka 52 CEEAG-a, odnosno ako u najvjerovatnijem uporednom scenariju korisnik ne obavlja djelatnost ili ulaganje ili nastavi sa poslovanjem bez promjena, dostavite dokaze u prilog toj pretpostavci</w:t>
      </w:r>
      <w:r w:rsidRPr="0086255B">
        <w:rPr>
          <w:rStyle w:val="FootnoteReference"/>
          <w:rFonts w:asciiTheme="minorHAnsi" w:hAnsiTheme="minorHAnsi" w:cstheme="minorHAnsi"/>
          <w:noProof/>
          <w:sz w:val="22"/>
        </w:rPr>
        <w:footnoteReference w:id="13"/>
      </w:r>
      <w:r w:rsidRPr="0086255B">
        <w:rPr>
          <w:rFonts w:asciiTheme="minorHAnsi" w:hAnsiTheme="minorHAnsi" w:cstheme="minorHAnsi"/>
          <w:noProof/>
          <w:sz w:val="22"/>
        </w:rPr>
        <w:t>.</w:t>
      </w:r>
    </w:p>
    <w:p w14:paraId="6635E61A"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3CC96915" w14:textId="77777777" w:rsidR="00C9629B" w:rsidRPr="0086255B" w:rsidRDefault="00C9629B" w:rsidP="00C9629B">
      <w:pPr>
        <w:numPr>
          <w:ilvl w:val="0"/>
          <w:numId w:val="5"/>
        </w:numPr>
        <w:tabs>
          <w:tab w:val="clear" w:pos="850"/>
        </w:tabs>
        <w:spacing w:before="120" w:after="120" w:line="240" w:lineRule="auto"/>
        <w:ind w:left="360" w:hanging="360"/>
        <w:jc w:val="both"/>
        <w:rPr>
          <w:rFonts w:cstheme="minorHAnsi"/>
          <w:noProof/>
        </w:rPr>
      </w:pPr>
      <w:r w:rsidRPr="0086255B">
        <w:rPr>
          <w:rFonts w:cstheme="minorHAnsi"/>
          <w:noProof/>
        </w:rPr>
        <w:t xml:space="preserve">U svim slučajevima u kojima se proporcionalnost opravdava pozivanjem na analizu finansijskog jaza, potvrdite da će nadležni organi sprovesti </w:t>
      </w:r>
      <w:r w:rsidRPr="0086255B">
        <w:rPr>
          <w:rFonts w:cstheme="minorHAnsi"/>
          <w:i/>
          <w:noProof/>
        </w:rPr>
        <w:t>ex post</w:t>
      </w:r>
      <w:r w:rsidRPr="0086255B">
        <w:rPr>
          <w:rFonts w:cstheme="minorHAnsi"/>
          <w:noProof/>
        </w:rPr>
        <w:t xml:space="preserve"> kontrolu kako bi provjerili pretpostavke o nivou neophodne pomoći, kao i da će uspostaviti mehanizam za povraćaj prekomjerno dodijeljenih sredstava, i opišite mehanizme za kontrolu i povraćaj prekomjerno dodijeljenih sredstava koje nadležni organi namjeravaju da primijene (tačka 271 CEEAG-a).</w:t>
      </w:r>
    </w:p>
    <w:p w14:paraId="15D12B37"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lastRenderedPageBreak/>
        <w:tab/>
      </w:r>
    </w:p>
    <w:p w14:paraId="147395A1" w14:textId="77777777" w:rsidR="00C9629B" w:rsidRPr="0086255B" w:rsidRDefault="00C9629B" w:rsidP="00C9629B">
      <w:pPr>
        <w:pStyle w:val="Heading4"/>
        <w:keepLines w:val="0"/>
        <w:numPr>
          <w:ilvl w:val="3"/>
          <w:numId w:val="7"/>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 xml:space="preserve">Proporcionalnost pomoći koja se dodjeljuje u okviru konkurentnog tenderskog postupka </w:t>
      </w:r>
    </w:p>
    <w:p w14:paraId="31400141" w14:textId="77777777" w:rsidR="00C9629B" w:rsidRPr="0086255B" w:rsidRDefault="00C9629B" w:rsidP="00C9629B">
      <w:pPr>
        <w:spacing w:before="120" w:after="120"/>
        <w:jc w:val="both"/>
        <w:rPr>
          <w:rFonts w:cstheme="minorHAnsi"/>
          <w:i/>
          <w:noProof/>
        </w:rPr>
      </w:pPr>
      <w:r w:rsidRPr="0086255B">
        <w:rPr>
          <w:rFonts w:cstheme="minorHAnsi"/>
          <w:i/>
          <w:noProof/>
        </w:rPr>
        <w:t>Za unos podataka u ovom odjeljku vidjeti tačke 49, 50 i 272 CEEAG-a.</w:t>
      </w:r>
    </w:p>
    <w:p w14:paraId="7F7CE430" w14:textId="77777777" w:rsidR="00C9629B" w:rsidRPr="0086255B" w:rsidRDefault="00C9629B" w:rsidP="00C9629B">
      <w:pPr>
        <w:pStyle w:val="NumPar1"/>
        <w:numPr>
          <w:ilvl w:val="0"/>
          <w:numId w:val="5"/>
        </w:numPr>
        <w:ind w:left="360" w:hanging="360"/>
        <w:rPr>
          <w:rFonts w:asciiTheme="minorHAnsi" w:hAnsiTheme="minorHAnsi" w:cstheme="minorHAnsi"/>
          <w:noProof/>
          <w:sz w:val="22"/>
        </w:rPr>
      </w:pPr>
      <w:r w:rsidRPr="0086255B">
        <w:rPr>
          <w:rFonts w:asciiTheme="minorHAnsi" w:hAnsiTheme="minorHAnsi" w:cstheme="minorHAnsi"/>
          <w:noProof/>
          <w:sz w:val="22"/>
        </w:rPr>
        <w:t>Kako bi se potvrdila usklađenost sa tačkama 49 i 50  CEEAG-a:</w:t>
      </w:r>
    </w:p>
    <w:p w14:paraId="754B13E0" w14:textId="77777777" w:rsidR="00C9629B" w:rsidRPr="0086255B" w:rsidRDefault="00C9629B" w:rsidP="00C9629B">
      <w:pPr>
        <w:pStyle w:val="Point1letter"/>
        <w:numPr>
          <w:ilvl w:val="3"/>
          <w:numId w:val="4"/>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 xml:space="preserve">objasnite kako nadležni organi obezbjeđuju da je tenderski postupak otvoren, jasan, transparentan i nediskriminatoran i da se zasniva na objektivnim kriterijumima definisanima </w:t>
      </w:r>
      <w:r w:rsidRPr="0086255B">
        <w:rPr>
          <w:rFonts w:asciiTheme="minorHAnsi" w:hAnsiTheme="minorHAnsi" w:cstheme="minorHAnsi"/>
          <w:i/>
          <w:noProof/>
          <w:sz w:val="22"/>
        </w:rPr>
        <w:t>ex ante</w:t>
      </w:r>
      <w:r w:rsidRPr="0086255B">
        <w:rPr>
          <w:rFonts w:asciiTheme="minorHAnsi" w:hAnsiTheme="minorHAnsi" w:cstheme="minorHAnsi"/>
          <w:noProof/>
          <w:sz w:val="22"/>
        </w:rPr>
        <w:t xml:space="preserve"> u skladu sa ciljem mjere i svođenjem rizika strateškog licitiranja na najmanju moguću mjeru (tačka 49 podtačka (a) CEEAG-a). </w:t>
      </w:r>
    </w:p>
    <w:p w14:paraId="5C465DC0"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128785D0" w14:textId="77777777" w:rsidR="00C9629B" w:rsidRPr="0086255B" w:rsidRDefault="00C9629B" w:rsidP="00C9629B">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navedite kriterijume za izbor koji se upotrebljavaju za rangiranje ponuda i na kraju utvrđivanje iznosa pomoći u konkurentnom tenderskom postupku</w:t>
      </w:r>
      <w:r w:rsidRPr="0086255B">
        <w:rPr>
          <w:rFonts w:asciiTheme="minorHAnsi" w:hAnsiTheme="minorHAnsi" w:cstheme="minorHAnsi"/>
          <w:noProof/>
          <w:sz w:val="22"/>
          <w:shd w:val="clear" w:color="auto" w:fill="FFFFFF"/>
        </w:rPr>
        <w:t xml:space="preserve">. </w:t>
      </w:r>
      <w:r w:rsidRPr="0086255B">
        <w:rPr>
          <w:rFonts w:asciiTheme="minorHAnsi" w:hAnsiTheme="minorHAnsi" w:cstheme="minorHAnsi"/>
          <w:noProof/>
          <w:sz w:val="22"/>
        </w:rPr>
        <w:t xml:space="preserve">Konkretnije: </w:t>
      </w:r>
    </w:p>
    <w:p w14:paraId="74254816" w14:textId="77777777" w:rsidR="00C9629B" w:rsidRPr="0086255B" w:rsidRDefault="00C9629B" w:rsidP="00C9629B">
      <w:pPr>
        <w:pStyle w:val="Point0letter"/>
        <w:numPr>
          <w:ilvl w:val="0"/>
          <w:numId w:val="19"/>
        </w:numPr>
        <w:ind w:hanging="360"/>
        <w:rPr>
          <w:rFonts w:asciiTheme="minorHAnsi" w:hAnsiTheme="minorHAnsi" w:cstheme="minorHAnsi"/>
          <w:noProof/>
          <w:sz w:val="22"/>
        </w:rPr>
      </w:pPr>
      <w:r w:rsidRPr="0086255B">
        <w:rPr>
          <w:rFonts w:asciiTheme="minorHAnsi" w:hAnsiTheme="minorHAnsi" w:cstheme="minorHAnsi"/>
          <w:noProof/>
          <w:sz w:val="22"/>
        </w:rPr>
        <w:t>navedite popis kriterijuma za izbor i naznačite koji od njih su direktno ili indirektno povezani sa glavnim ciljevima mjera. Navedite njihove pondere;</w:t>
      </w:r>
    </w:p>
    <w:p w14:paraId="554B77CA"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4B3F6DB4" w14:textId="77777777" w:rsidR="00C9629B" w:rsidRPr="0086255B" w:rsidRDefault="00C9629B" w:rsidP="00C9629B">
      <w:pPr>
        <w:pStyle w:val="Stylei"/>
        <w:numPr>
          <w:ilvl w:val="0"/>
          <w:numId w:val="19"/>
        </w:numPr>
        <w:ind w:hanging="360"/>
        <w:rPr>
          <w:rFonts w:asciiTheme="minorHAnsi" w:hAnsiTheme="minorHAnsi" w:cstheme="minorHAnsi"/>
          <w:noProof/>
          <w:sz w:val="22"/>
        </w:rPr>
      </w:pPr>
      <w:r w:rsidRPr="0086255B">
        <w:rPr>
          <w:rFonts w:asciiTheme="minorHAnsi" w:hAnsiTheme="minorHAnsi" w:cstheme="minorHAnsi"/>
          <w:noProof/>
          <w:sz w:val="22"/>
        </w:rPr>
        <w:t>objasnite kako je prema kriterijumima za izbor doprinos glavnim ciljevima mjere direktno ili indirektno povezan sa iznosom pomoći koji je zatražio podnosilac zahtjeva. To se može izraziti, na primjer, u obliku pomoći po jedinici zaštite životne sredine</w:t>
      </w:r>
      <w:r w:rsidRPr="0086255B">
        <w:rPr>
          <w:rStyle w:val="FootnoteReference"/>
          <w:rFonts w:asciiTheme="minorHAnsi" w:hAnsiTheme="minorHAnsi" w:cstheme="minorHAnsi"/>
          <w:noProof/>
          <w:sz w:val="22"/>
        </w:rPr>
        <w:footnoteReference w:id="14"/>
      </w:r>
      <w:r w:rsidRPr="0086255B">
        <w:rPr>
          <w:rFonts w:asciiTheme="minorHAnsi" w:hAnsiTheme="minorHAnsi" w:cstheme="minorHAnsi"/>
          <w:noProof/>
          <w:sz w:val="22"/>
        </w:rPr>
        <w:t xml:space="preserve"> (tačka 50 i fusnota 44 CEEAG-a);</w:t>
      </w:r>
    </w:p>
    <w:p w14:paraId="5B606CC1"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1D390434" w14:textId="77777777" w:rsidR="00C9629B" w:rsidRPr="0086255B" w:rsidRDefault="00C9629B" w:rsidP="00C9629B">
      <w:pPr>
        <w:pStyle w:val="Stylei"/>
        <w:numPr>
          <w:ilvl w:val="0"/>
          <w:numId w:val="19"/>
        </w:numPr>
        <w:ind w:hanging="360"/>
        <w:rPr>
          <w:rFonts w:asciiTheme="minorHAnsi" w:hAnsiTheme="minorHAnsi" w:cstheme="minorHAnsi"/>
          <w:noProof/>
          <w:sz w:val="22"/>
        </w:rPr>
      </w:pPr>
      <w:r w:rsidRPr="0086255B">
        <w:rPr>
          <w:rFonts w:asciiTheme="minorHAnsi" w:hAnsiTheme="minorHAnsi" w:cstheme="minorHAnsi"/>
          <w:noProof/>
          <w:sz w:val="22"/>
        </w:rPr>
        <w:t>ako postoje drugi kriterijumi za izbor koji nisu direktno ili indirektno povezani sa glavnim ciljevima mjera, navedite obrazloženje za predloženi pristup i objasnite kako je on primjerenim tim ciljevima. Potvrdite i da ovi kriterijumi ne predstavljaju više od 30 % pondera svih kriterijuma za izbor (tačka 50 CEEAG-a);</w:t>
      </w:r>
    </w:p>
    <w:p w14:paraId="2F62FB6F"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0354A22D" w14:textId="77777777" w:rsidR="00C9629B" w:rsidRPr="0086255B" w:rsidRDefault="00C9629B" w:rsidP="00C9629B">
      <w:pPr>
        <w:pStyle w:val="Stylei"/>
        <w:numPr>
          <w:ilvl w:val="0"/>
          <w:numId w:val="19"/>
        </w:numPr>
        <w:ind w:hanging="360"/>
        <w:rPr>
          <w:rFonts w:asciiTheme="minorHAnsi" w:hAnsiTheme="minorHAnsi" w:cstheme="minorHAnsi"/>
          <w:noProof/>
          <w:sz w:val="22"/>
        </w:rPr>
      </w:pPr>
      <w:r w:rsidRPr="0086255B">
        <w:rPr>
          <w:rFonts w:asciiTheme="minorHAnsi" w:hAnsiTheme="minorHAnsi" w:cstheme="minorHAnsi"/>
          <w:noProof/>
          <w:sz w:val="22"/>
        </w:rPr>
        <w:t>objasnite koliko će se vremena prije roka za podnošenje zahtjeva u svakom konkurentnom tenderskom postupku</w:t>
      </w:r>
      <w:r w:rsidRPr="0086255B">
        <w:rPr>
          <w:rFonts w:asciiTheme="minorHAnsi" w:hAnsiTheme="minorHAnsi" w:cstheme="minorHAnsi"/>
          <w:noProof/>
          <w:sz w:val="22"/>
          <w:shd w:val="clear" w:color="auto" w:fill="FFFFFF"/>
        </w:rPr>
        <w:t xml:space="preserve"> objaviti kriterijumi za izbor</w:t>
      </w:r>
      <w:r w:rsidRPr="0086255B">
        <w:rPr>
          <w:rFonts w:asciiTheme="minorHAnsi" w:hAnsiTheme="minorHAnsi" w:cstheme="minorHAnsi"/>
          <w:noProof/>
          <w:sz w:val="22"/>
        </w:rPr>
        <w:t xml:space="preserve"> (tačka 49 podtačka (b) i fusnota 43 CEEAG-a);</w:t>
      </w:r>
    </w:p>
    <w:p w14:paraId="60DE4B72"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4B014FF9" w14:textId="77777777" w:rsidR="00C9629B" w:rsidRPr="0086255B" w:rsidRDefault="00C9629B" w:rsidP="00C9629B">
      <w:pPr>
        <w:pStyle w:val="NumPar1"/>
        <w:numPr>
          <w:ilvl w:val="0"/>
          <w:numId w:val="5"/>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shd w:val="clear" w:color="auto" w:fill="FFFFFF"/>
        </w:rPr>
        <w:t xml:space="preserve">Objasnite elemente na kojima zasnivate pretpostavku da će tenderski postupak biti otvoren i da će biti podneseno dovoljno ponuda, odnosno da se može očekivati da neće svi ponuđači dobiti pomoć i da je očekivani broj ponuđača dovoljan da obezbijedi stvarnu i efikasnu konkurenciju tokom cijelog </w:t>
      </w:r>
      <w:r w:rsidRPr="0086255B">
        <w:rPr>
          <w:rFonts w:asciiTheme="minorHAnsi" w:hAnsiTheme="minorHAnsi" w:cstheme="minorHAnsi"/>
          <w:noProof/>
          <w:sz w:val="22"/>
          <w:shd w:val="clear" w:color="auto" w:fill="FFFFFF"/>
        </w:rPr>
        <w:lastRenderedPageBreak/>
        <w:t>trajanja šeme (tačka 49 podtačka (c) CEEAG-a). U objašnjenju uzmite u obzir budžet ili obim šeme. Gdje je to primjenjivo, pozovite se na dokaze dostavljene kao odgovore na pitanje 17 iznad.</w:t>
      </w:r>
    </w:p>
    <w:p w14:paraId="0C65E218"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3B9F7601" w14:textId="77777777" w:rsidR="00C9629B" w:rsidRPr="0086255B" w:rsidRDefault="00C9629B" w:rsidP="00C9629B">
      <w:pPr>
        <w:pStyle w:val="NumPar1"/>
        <w:numPr>
          <w:ilvl w:val="0"/>
          <w:numId w:val="5"/>
        </w:numPr>
        <w:tabs>
          <w:tab w:val="clear" w:pos="850"/>
        </w:tabs>
        <w:ind w:left="360" w:hanging="360"/>
        <w:rPr>
          <w:rFonts w:asciiTheme="minorHAnsi" w:hAnsiTheme="minorHAnsi" w:cstheme="minorHAnsi"/>
          <w:noProof/>
          <w:sz w:val="22"/>
          <w:shd w:val="clear" w:color="auto" w:fill="FFFFFF"/>
        </w:rPr>
      </w:pPr>
      <w:r w:rsidRPr="0086255B">
        <w:rPr>
          <w:rFonts w:asciiTheme="minorHAnsi" w:hAnsiTheme="minorHAnsi" w:cstheme="minorHAnsi"/>
          <w:noProof/>
          <w:sz w:val="22"/>
          <w:shd w:val="clear" w:color="auto" w:fill="FFFFFF"/>
        </w:rPr>
        <w:t>Navedite koji je predviđeni broj krugova tendera i očekivani broj ponuđača u prvom krugu i nakon toga,</w:t>
      </w:r>
    </w:p>
    <w:p w14:paraId="6F7EE28C"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71C5FB0F" w14:textId="77777777" w:rsidR="00C9629B" w:rsidRPr="0086255B" w:rsidRDefault="00C9629B" w:rsidP="00C9629B">
      <w:pPr>
        <w:pStyle w:val="NumPar1"/>
        <w:numPr>
          <w:ilvl w:val="0"/>
          <w:numId w:val="5"/>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U slučaju jednog ili više tenderskih postupaka sa nedovoljnim učešćem,</w:t>
      </w:r>
      <w:r w:rsidRPr="0086255B">
        <w:rPr>
          <w:rFonts w:asciiTheme="minorHAnsi" w:hAnsiTheme="minorHAnsi" w:cstheme="minorHAnsi"/>
          <w:noProof/>
          <w:sz w:val="22"/>
          <w:shd w:val="clear" w:color="auto" w:fill="FFFFFF"/>
        </w:rPr>
        <w:t xml:space="preserve"> objasnite kako će se </w:t>
      </w:r>
      <w:r w:rsidRPr="0086255B">
        <w:rPr>
          <w:rFonts w:asciiTheme="minorHAnsi" w:hAnsiTheme="minorHAnsi" w:cstheme="minorHAnsi"/>
          <w:noProof/>
          <w:sz w:val="22"/>
        </w:rPr>
        <w:t>struktura tenderskog postupka prilagoditi</w:t>
      </w:r>
      <w:r w:rsidRPr="0086255B">
        <w:rPr>
          <w:rFonts w:asciiTheme="minorHAnsi" w:hAnsiTheme="minorHAnsi" w:cstheme="minorHAnsi"/>
          <w:noProof/>
          <w:sz w:val="22"/>
          <w:shd w:val="clear" w:color="auto" w:fill="FFFFFF"/>
        </w:rPr>
        <w:t xml:space="preserve"> dok je predmetna šema na snazi</w:t>
      </w:r>
      <w:r w:rsidRPr="0086255B">
        <w:rPr>
          <w:rFonts w:asciiTheme="minorHAnsi" w:hAnsiTheme="minorHAnsi" w:cstheme="minorHAnsi"/>
          <w:noProof/>
          <w:sz w:val="22"/>
        </w:rPr>
        <w:t xml:space="preserve">, kako bi se </w:t>
      </w:r>
      <w:r w:rsidRPr="0086255B">
        <w:rPr>
          <w:rFonts w:asciiTheme="minorHAnsi" w:hAnsiTheme="minorHAnsi" w:cstheme="minorHAnsi"/>
          <w:noProof/>
          <w:sz w:val="22"/>
          <w:shd w:val="clear" w:color="auto" w:fill="FFFFFF"/>
        </w:rPr>
        <w:t xml:space="preserve">ponovo uspostavila efikasna konkurencija i kada </w:t>
      </w:r>
      <w:r w:rsidRPr="0086255B">
        <w:rPr>
          <w:rFonts w:asciiTheme="minorHAnsi" w:hAnsiTheme="minorHAnsi" w:cstheme="minorHAnsi"/>
          <w:noProof/>
          <w:sz w:val="22"/>
        </w:rPr>
        <w:t>(tačka 49 podtačka (c) CEEAG-a)</w:t>
      </w:r>
      <w:r w:rsidRPr="0086255B">
        <w:rPr>
          <w:rFonts w:asciiTheme="minorHAnsi" w:hAnsiTheme="minorHAnsi" w:cstheme="minorHAnsi"/>
          <w:noProof/>
          <w:sz w:val="22"/>
          <w:shd w:val="clear" w:color="auto" w:fill="FFFFFF"/>
        </w:rPr>
        <w:t xml:space="preserve">; </w:t>
      </w:r>
    </w:p>
    <w:p w14:paraId="533D655C"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75665E73" w14:textId="77777777" w:rsidR="00C9629B" w:rsidRPr="0086255B" w:rsidRDefault="00C9629B" w:rsidP="00C9629B">
      <w:pPr>
        <w:pStyle w:val="NumPar1"/>
        <w:numPr>
          <w:ilvl w:val="0"/>
          <w:numId w:val="5"/>
        </w:numPr>
        <w:tabs>
          <w:tab w:val="clear" w:pos="850"/>
        </w:tabs>
        <w:ind w:left="360" w:hanging="360"/>
        <w:rPr>
          <w:rFonts w:asciiTheme="minorHAnsi" w:hAnsiTheme="minorHAnsi" w:cstheme="minorHAnsi"/>
          <w:noProof/>
          <w:sz w:val="22"/>
        </w:rPr>
      </w:pPr>
      <w:r w:rsidRPr="0086255B">
        <w:rPr>
          <w:rStyle w:val="oj-italic"/>
          <w:rFonts w:asciiTheme="minorHAnsi" w:hAnsiTheme="minorHAnsi" w:cstheme="minorHAnsi"/>
          <w:noProof/>
          <w:sz w:val="22"/>
          <w:shd w:val="clear" w:color="auto" w:fill="FFFFFF"/>
        </w:rPr>
        <w:t xml:space="preserve">Potvrdite da nisu dozvoljena </w:t>
      </w:r>
      <w:r w:rsidRPr="0086255B">
        <w:rPr>
          <w:rStyle w:val="oj-italic"/>
          <w:rFonts w:asciiTheme="minorHAnsi" w:hAnsiTheme="minorHAnsi" w:cstheme="minorHAnsi"/>
          <w:i/>
          <w:noProof/>
          <w:sz w:val="22"/>
          <w:shd w:val="clear" w:color="auto" w:fill="FFFFFF"/>
        </w:rPr>
        <w:t>ex post</w:t>
      </w:r>
      <w:r w:rsidRPr="0086255B">
        <w:rPr>
          <w:rFonts w:asciiTheme="minorHAnsi" w:hAnsiTheme="minorHAnsi" w:cstheme="minorHAnsi"/>
          <w:noProof/>
          <w:sz w:val="22"/>
          <w:shd w:val="clear" w:color="auto" w:fill="FFFFFF"/>
        </w:rPr>
        <w:t xml:space="preserve"> prilagođavanja rezultata tenderskog postupka (kao što su naknadni pregovori o rezultatima ponuda ili uvođenje kvota) </w:t>
      </w:r>
      <w:r w:rsidRPr="0086255B">
        <w:rPr>
          <w:rFonts w:asciiTheme="minorHAnsi" w:hAnsiTheme="minorHAnsi" w:cstheme="minorHAnsi"/>
          <w:noProof/>
          <w:sz w:val="22"/>
        </w:rPr>
        <w:t>(tačka 49 podtačka (d) CEEAG-a)</w:t>
      </w:r>
      <w:r w:rsidRPr="0086255B">
        <w:rPr>
          <w:rFonts w:asciiTheme="minorHAnsi" w:hAnsiTheme="minorHAnsi" w:cstheme="minorHAnsi"/>
          <w:noProof/>
          <w:sz w:val="22"/>
          <w:shd w:val="clear" w:color="auto" w:fill="FFFFFF"/>
        </w:rPr>
        <w:t>;</w:t>
      </w:r>
    </w:p>
    <w:p w14:paraId="73424E6C"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51C76DC2" w14:textId="77777777" w:rsidR="00C9629B" w:rsidRPr="0086255B" w:rsidRDefault="00C9629B" w:rsidP="00C9629B">
      <w:pPr>
        <w:pStyle w:val="NumPar1"/>
        <w:numPr>
          <w:ilvl w:val="0"/>
          <w:numId w:val="5"/>
        </w:numPr>
        <w:tabs>
          <w:tab w:val="clear" w:pos="850"/>
        </w:tabs>
        <w:ind w:left="360" w:hanging="360"/>
        <w:rPr>
          <w:rFonts w:asciiTheme="minorHAnsi" w:hAnsiTheme="minorHAnsi" w:cstheme="minorHAnsi"/>
          <w:noProof/>
          <w:sz w:val="22"/>
        </w:rPr>
      </w:pPr>
      <w:r w:rsidRPr="0086255B">
        <w:rPr>
          <w:rStyle w:val="oj-italic"/>
          <w:rFonts w:asciiTheme="minorHAnsi" w:hAnsiTheme="minorHAnsi" w:cstheme="minorHAnsi"/>
          <w:noProof/>
          <w:sz w:val="22"/>
          <w:shd w:val="clear" w:color="auto" w:fill="FFFFFF"/>
        </w:rPr>
        <w:t>Ako</w:t>
      </w:r>
      <w:r w:rsidRPr="0086255B">
        <w:rPr>
          <w:rFonts w:asciiTheme="minorHAnsi" w:hAnsiTheme="minorHAnsi" w:cstheme="minorHAnsi"/>
          <w:noProof/>
          <w:sz w:val="22"/>
        </w:rPr>
        <w:t xml:space="preserve"> postoji mogućnost „ponuda sa nultim subvencijama”, objasnite kako će se obezbijediti </w:t>
      </w:r>
      <w:r w:rsidRPr="0086255B">
        <w:rPr>
          <w:rStyle w:val="oj-italic"/>
          <w:rFonts w:asciiTheme="minorHAnsi" w:hAnsiTheme="minorHAnsi" w:cstheme="minorHAnsi"/>
          <w:noProof/>
          <w:sz w:val="22"/>
          <w:shd w:val="clear" w:color="auto" w:fill="FFFFFF"/>
        </w:rPr>
        <w:t>proporcionalnost</w:t>
      </w:r>
      <w:r w:rsidRPr="0086255B">
        <w:rPr>
          <w:rFonts w:asciiTheme="minorHAnsi" w:hAnsiTheme="minorHAnsi" w:cstheme="minorHAnsi"/>
          <w:noProof/>
          <w:sz w:val="22"/>
        </w:rPr>
        <w:t xml:space="preserve"> (vidjeti tačku 49 fusnotu 42 CEEAG-a).</w:t>
      </w:r>
    </w:p>
    <w:p w14:paraId="6ACA944D"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78A82C3B" w14:textId="77777777" w:rsidR="00C9629B" w:rsidRPr="0086255B" w:rsidRDefault="00C9629B" w:rsidP="00C9629B">
      <w:pPr>
        <w:pStyle w:val="NumPar1"/>
        <w:numPr>
          <w:ilvl w:val="0"/>
          <w:numId w:val="5"/>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Pojasnite da li nadležni organi predviđaju primjenu najnižih cijena ili ograničenja cijena u konkurentnom tenderskom postupku. Ako predviđaju, obrazložite njihovu primjenu i objasnite kako se njima ne ograničava konkurentni tenderski postupak (tačka 49 i fusnota 42 CEEAG-a).</w:t>
      </w:r>
    </w:p>
    <w:p w14:paraId="66B5C0C0"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65B0868D" w14:textId="77777777" w:rsidR="00C9629B" w:rsidRPr="0086255B" w:rsidRDefault="00C9629B" w:rsidP="00C9629B">
      <w:pPr>
        <w:pStyle w:val="Heading3"/>
        <w:keepLines w:val="0"/>
        <w:numPr>
          <w:ilvl w:val="2"/>
          <w:numId w:val="7"/>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i/>
          <w:noProof/>
          <w:color w:val="auto"/>
          <w:sz w:val="22"/>
          <w:szCs w:val="22"/>
        </w:rPr>
        <w:t>Kumulacija pomoći</w:t>
      </w:r>
    </w:p>
    <w:p w14:paraId="4026B247" w14:textId="77777777" w:rsidR="00C9629B" w:rsidRPr="0086255B" w:rsidRDefault="00C9629B" w:rsidP="00C9629B">
      <w:pPr>
        <w:spacing w:before="120" w:after="120"/>
        <w:jc w:val="both"/>
        <w:rPr>
          <w:rFonts w:cstheme="minorHAnsi"/>
          <w:i/>
          <w:iCs/>
          <w:noProof/>
        </w:rPr>
      </w:pPr>
      <w:r w:rsidRPr="0086255B">
        <w:rPr>
          <w:rFonts w:cstheme="minorHAnsi"/>
          <w:i/>
          <w:noProof/>
        </w:rPr>
        <w:t>Za unos podataka u ovom odjeljku vidjeti tačke 56 i 57 CEEAG-a.</w:t>
      </w:r>
    </w:p>
    <w:p w14:paraId="27922C94" w14:textId="77777777" w:rsidR="00C9629B" w:rsidRPr="0086255B" w:rsidRDefault="00C9629B" w:rsidP="00C9629B">
      <w:pPr>
        <w:pStyle w:val="NumPar1"/>
        <w:numPr>
          <w:ilvl w:val="0"/>
          <w:numId w:val="5"/>
        </w:numPr>
        <w:ind w:left="360" w:hanging="360"/>
        <w:rPr>
          <w:rFonts w:asciiTheme="minorHAnsi" w:hAnsiTheme="minorHAnsi" w:cstheme="minorHAnsi"/>
          <w:noProof/>
          <w:sz w:val="22"/>
        </w:rPr>
      </w:pPr>
      <w:r w:rsidRPr="0086255B">
        <w:rPr>
          <w:rFonts w:asciiTheme="minorHAnsi" w:hAnsiTheme="minorHAnsi" w:cstheme="minorHAnsi"/>
          <w:noProof/>
          <w:sz w:val="22"/>
        </w:rPr>
        <w:t xml:space="preserve">Ako to već nije navedeno u dijelu I opšteg obrasca prijave i kako bi se dokazala usklađenost sa tačkom 56 CEEAG-a, objasnite da li se pomoć u okviru prijavljenih mjera može dodijeliti istovremeno u okviru nekoliko šema pomoći ili kumulirati sa ad-hoc ili </w:t>
      </w:r>
      <w:r w:rsidRPr="0086255B">
        <w:rPr>
          <w:rFonts w:asciiTheme="minorHAnsi" w:hAnsiTheme="minorHAnsi" w:cstheme="minorHAnsi"/>
          <w:i/>
          <w:noProof/>
          <w:sz w:val="22"/>
        </w:rPr>
        <w:t>de minimis</w:t>
      </w:r>
      <w:r w:rsidRPr="0086255B">
        <w:rPr>
          <w:rFonts w:asciiTheme="minorHAnsi" w:hAnsiTheme="minorHAnsi" w:cstheme="minorHAnsi"/>
          <w:noProof/>
          <w:sz w:val="22"/>
        </w:rPr>
        <w:t xml:space="preserve"> pomoći u odnosu na iste opravdane troškove. Ako može, navedite detalje o tim šemama pomoći, ad-hoc pomoći ili </w:t>
      </w:r>
      <w:r w:rsidRPr="0086255B">
        <w:rPr>
          <w:rFonts w:asciiTheme="minorHAnsi" w:hAnsiTheme="minorHAnsi" w:cstheme="minorHAnsi"/>
          <w:i/>
          <w:noProof/>
          <w:sz w:val="22"/>
        </w:rPr>
        <w:t>de minimis</w:t>
      </w:r>
      <w:r w:rsidRPr="0086255B">
        <w:rPr>
          <w:rFonts w:asciiTheme="minorHAnsi" w:hAnsiTheme="minorHAnsi" w:cstheme="minorHAnsi"/>
          <w:noProof/>
          <w:sz w:val="22"/>
        </w:rPr>
        <w:t xml:space="preserve"> pomoći, kao i način na koji će se pomoć kumulirati.</w:t>
      </w:r>
    </w:p>
    <w:p w14:paraId="2DC4FAFD"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78DD91DA" w14:textId="77777777" w:rsidR="00C9629B" w:rsidRPr="0086255B" w:rsidRDefault="00C9629B" w:rsidP="00C9629B">
      <w:pPr>
        <w:pStyle w:val="NumPar1"/>
        <w:numPr>
          <w:ilvl w:val="0"/>
          <w:numId w:val="5"/>
        </w:numPr>
        <w:ind w:left="360" w:hanging="360"/>
        <w:rPr>
          <w:rFonts w:asciiTheme="minorHAnsi" w:hAnsiTheme="minorHAnsi" w:cstheme="minorHAnsi"/>
          <w:noProof/>
          <w:sz w:val="22"/>
        </w:rPr>
      </w:pPr>
      <w:r w:rsidRPr="0086255B">
        <w:rPr>
          <w:rFonts w:asciiTheme="minorHAnsi" w:hAnsiTheme="minorHAnsi" w:cstheme="minorHAnsi"/>
          <w:noProof/>
          <w:sz w:val="22"/>
        </w:rPr>
        <w:t>Ako se primjenjuje tačka 56 CEEAG-a, obrazložite kako ukupni iznos pomoći dodijeljen na osnovu prijavljenih mjera za projekt ili djelatnost ne dovodi do prekomjerne naknade ili ne prelazi maksimalni iznos pomoći dozvoljen u skladu sa tačkama od 267 do 273 CEEAG-a. Za svaku mjeru sa kojom se pomoć dodijeljena u okviru prijavljenih mjera pomoći može kumulirati navedite metodologiju koja je korišćenja kako bi se osigurala usklađenost sa uslovima utvrđenim u tački 56 CEEAG-a.</w:t>
      </w:r>
    </w:p>
    <w:p w14:paraId="67313F25"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67505E75" w14:textId="77777777" w:rsidR="00C9629B" w:rsidRPr="0086255B" w:rsidRDefault="00C9629B" w:rsidP="00C9629B">
      <w:pPr>
        <w:pStyle w:val="NumPar1"/>
        <w:numPr>
          <w:ilvl w:val="0"/>
          <w:numId w:val="5"/>
        </w:numPr>
        <w:ind w:left="360" w:hanging="360"/>
        <w:rPr>
          <w:rFonts w:asciiTheme="minorHAnsi" w:hAnsiTheme="minorHAnsi" w:cstheme="minorHAnsi"/>
          <w:noProof/>
          <w:sz w:val="22"/>
        </w:rPr>
      </w:pPr>
      <w:r w:rsidRPr="0086255B">
        <w:rPr>
          <w:rFonts w:asciiTheme="minorHAnsi" w:hAnsiTheme="minorHAnsi" w:cstheme="minorHAnsi"/>
          <w:noProof/>
          <w:sz w:val="22"/>
        </w:rPr>
        <w:lastRenderedPageBreak/>
        <w:t>Ako se primjenjuje tačka 57 CEEAG-a, tj. ako je pomoć dodijeljena u okviru prijavljenih mjera kombinovana sa finansijskim sredstvima</w:t>
      </w:r>
      <w:r w:rsidRPr="0086255B">
        <w:rPr>
          <w:rStyle w:val="FootnoteReference"/>
          <w:rFonts w:asciiTheme="minorHAnsi" w:hAnsiTheme="minorHAnsi" w:cstheme="minorHAnsi"/>
          <w:noProof/>
          <w:sz w:val="22"/>
          <w:lang w:eastAsia="en-GB"/>
        </w:rPr>
        <w:footnoteReference w:id="15"/>
      </w:r>
      <w:r w:rsidRPr="0086255B">
        <w:rPr>
          <w:rFonts w:asciiTheme="minorHAnsi" w:hAnsiTheme="minorHAnsi" w:cstheme="minorHAnsi"/>
          <w:noProof/>
          <w:sz w:val="22"/>
        </w:rPr>
        <w:t xml:space="preserve"> Unije kojima se centralizovano upravlja (koja ne predstavljaju državnu pomoć), obrazložite kako </w:t>
      </w:r>
      <w:r w:rsidRPr="0086255B">
        <w:rPr>
          <w:rFonts w:asciiTheme="minorHAnsi" w:hAnsiTheme="minorHAnsi" w:cstheme="minorHAnsi"/>
          <w:noProof/>
          <w:sz w:val="22"/>
          <w:shd w:val="clear" w:color="auto" w:fill="FFFFFF"/>
        </w:rPr>
        <w:t>ukupan iznos dodijeljenih javnih sredstava u odnosu na iste opravdane troškove ne dovodi do prekomjerne naknade.</w:t>
      </w:r>
    </w:p>
    <w:p w14:paraId="11449D8D"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105CE50B" w14:textId="77777777" w:rsidR="00C9629B" w:rsidRPr="0086255B" w:rsidRDefault="00C9629B" w:rsidP="00C9629B">
      <w:pPr>
        <w:pStyle w:val="Heading3"/>
        <w:keepLines w:val="0"/>
        <w:numPr>
          <w:ilvl w:val="2"/>
          <w:numId w:val="7"/>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i/>
          <w:noProof/>
          <w:color w:val="auto"/>
          <w:sz w:val="22"/>
          <w:szCs w:val="22"/>
        </w:rPr>
        <w:t>Transparentnost</w:t>
      </w:r>
    </w:p>
    <w:p w14:paraId="56CBA106" w14:textId="77777777" w:rsidR="00C9629B" w:rsidRPr="0086255B" w:rsidRDefault="00C9629B" w:rsidP="00C9629B">
      <w:pPr>
        <w:spacing w:before="120" w:after="120"/>
        <w:jc w:val="both"/>
        <w:rPr>
          <w:rFonts w:cstheme="minorHAnsi"/>
          <w:i/>
          <w:noProof/>
        </w:rPr>
      </w:pPr>
      <w:r w:rsidRPr="0086255B">
        <w:rPr>
          <w:rFonts w:cstheme="minorHAnsi"/>
          <w:i/>
          <w:noProof/>
        </w:rPr>
        <w:t xml:space="preserve">Za unos podataka u ovom odjeljku vidjeti odjeljak 3.2.1.4. (tačke od 58 do 62) CEEAG-a. </w:t>
      </w:r>
    </w:p>
    <w:p w14:paraId="5CED4EB3" w14:textId="77777777" w:rsidR="00C9629B" w:rsidRPr="0086255B" w:rsidRDefault="00C9629B" w:rsidP="00C9629B">
      <w:pPr>
        <w:pStyle w:val="NumPar1"/>
        <w:numPr>
          <w:ilvl w:val="0"/>
          <w:numId w:val="5"/>
        </w:numPr>
        <w:ind w:left="360" w:hanging="360"/>
        <w:rPr>
          <w:rFonts w:asciiTheme="minorHAnsi" w:eastAsia="Times New Roman" w:hAnsiTheme="minorHAnsi" w:cstheme="minorHAnsi"/>
          <w:noProof/>
          <w:sz w:val="22"/>
        </w:rPr>
      </w:pPr>
      <w:r w:rsidRPr="0086255B">
        <w:rPr>
          <w:rFonts w:asciiTheme="minorHAnsi" w:hAnsiTheme="minorHAnsi" w:cstheme="minorHAnsi"/>
          <w:noProof/>
          <w:sz w:val="22"/>
        </w:rPr>
        <w:t xml:space="preserve">Potvrdite da će država članica ispuniti zahtjeve u vezi sa transparentnošću iz tačaka od 58 do 61 CEEAG-a. </w:t>
      </w:r>
    </w:p>
    <w:p w14:paraId="16F11BF8"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3ACAC4FF" w14:textId="77777777" w:rsidR="00C9629B" w:rsidRPr="0086255B" w:rsidRDefault="00C9629B" w:rsidP="00C9629B">
      <w:pPr>
        <w:pStyle w:val="NumPar1"/>
        <w:numPr>
          <w:ilvl w:val="0"/>
          <w:numId w:val="5"/>
        </w:numPr>
        <w:ind w:left="360" w:hanging="360"/>
        <w:rPr>
          <w:rFonts w:asciiTheme="minorHAnsi" w:hAnsiTheme="minorHAnsi" w:cstheme="minorHAnsi"/>
          <w:noProof/>
          <w:sz w:val="22"/>
        </w:rPr>
      </w:pPr>
      <w:r w:rsidRPr="0086255B">
        <w:rPr>
          <w:rFonts w:asciiTheme="minorHAnsi" w:hAnsiTheme="minorHAnsi" w:cstheme="minorHAnsi"/>
          <w:noProof/>
          <w:sz w:val="22"/>
        </w:rPr>
        <w:t xml:space="preserve">Navedite link na internet stranice na kojima će biti objavljen pun tekst odluke o dodjeli odobrene šeme pomoći ili individualne pomoći i njenih implementacionih odredbi, kao i informacije o svakoj individualnoj pomoći koja je dodijeljena ad hoc ili u okviru šeme pomoći odobrene na osnovu CEEAG-a čiji iznos prelazi 100 000 EUR. </w:t>
      </w:r>
    </w:p>
    <w:p w14:paraId="0FF4448E"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28F6ADDD" w14:textId="77777777" w:rsidR="00C9629B" w:rsidRPr="0086255B" w:rsidRDefault="00C9629B" w:rsidP="00C9629B">
      <w:pPr>
        <w:pStyle w:val="Heading2"/>
        <w:keepLines w:val="0"/>
        <w:numPr>
          <w:ilvl w:val="1"/>
          <w:numId w:val="7"/>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Izbjegavanje nepotrebnih negativnih efekata na konkurenciju i trgovinu i balansiranje</w:t>
      </w:r>
    </w:p>
    <w:p w14:paraId="1A78CC8E" w14:textId="77777777" w:rsidR="00C9629B" w:rsidRPr="0086255B" w:rsidRDefault="00C9629B" w:rsidP="00C9629B">
      <w:pPr>
        <w:spacing w:before="120" w:after="120"/>
        <w:jc w:val="both"/>
        <w:rPr>
          <w:rFonts w:cstheme="minorHAnsi"/>
          <w:i/>
          <w:noProof/>
        </w:rPr>
      </w:pPr>
      <w:r w:rsidRPr="0086255B">
        <w:rPr>
          <w:rFonts w:cstheme="minorHAnsi"/>
          <w:i/>
          <w:noProof/>
        </w:rPr>
        <w:t xml:space="preserve">Za unos podataka u ovom odjeljku vidjeti odjeljak 3.2.2. (tačke od 63 do 70) i odjeljak 4.5.5. (tačke od 274 do 275) CEEAG-a. </w:t>
      </w:r>
    </w:p>
    <w:p w14:paraId="274C3230" w14:textId="77777777" w:rsidR="00C9629B" w:rsidRPr="0086255B" w:rsidRDefault="00C9629B" w:rsidP="00C9629B">
      <w:pPr>
        <w:pStyle w:val="NumPar1"/>
        <w:numPr>
          <w:ilvl w:val="0"/>
          <w:numId w:val="5"/>
        </w:numPr>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 se potvrdila usklađenost sa tačkom 67 CEEAG-a, dostavite podatke o mogućim kratkoročnim i dugoročnim negativnim efektima prijavljenih mjera na uslove konkurencije i trgovinu. </w:t>
      </w:r>
    </w:p>
    <w:p w14:paraId="312E23AB"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521B34DB" w14:textId="77777777" w:rsidR="00C9629B" w:rsidRPr="0086255B" w:rsidRDefault="00C9629B" w:rsidP="00C9629B">
      <w:pPr>
        <w:pStyle w:val="NumPar1"/>
        <w:numPr>
          <w:ilvl w:val="0"/>
          <w:numId w:val="5"/>
        </w:numPr>
        <w:ind w:left="360" w:hanging="360"/>
        <w:rPr>
          <w:rFonts w:asciiTheme="minorHAnsi" w:hAnsiTheme="minorHAnsi" w:cstheme="minorHAnsi"/>
          <w:noProof/>
          <w:sz w:val="22"/>
        </w:rPr>
      </w:pPr>
      <w:r w:rsidRPr="0086255B">
        <w:rPr>
          <w:rFonts w:asciiTheme="minorHAnsi" w:hAnsiTheme="minorHAnsi" w:cstheme="minorHAnsi"/>
          <w:noProof/>
          <w:sz w:val="22"/>
        </w:rPr>
        <w:t xml:space="preserve">Objasnite da li je mjera obuhvaćena nekom od sljedećih situacija: </w:t>
      </w:r>
    </w:p>
    <w:p w14:paraId="78C79850" w14:textId="77777777" w:rsidR="00C9629B" w:rsidRPr="0086255B" w:rsidRDefault="00C9629B" w:rsidP="00C9629B">
      <w:pPr>
        <w:pStyle w:val="Point1letter"/>
        <w:numPr>
          <w:ilvl w:val="3"/>
          <w:numId w:val="20"/>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odnosi se na tržište (ili tržišta) na kojem su postojeći učesnici stekli tržišnu snagu prije liberalizacije tržišta;</w:t>
      </w:r>
    </w:p>
    <w:p w14:paraId="1C2B1E57"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3D37AB06" w14:textId="77777777" w:rsidR="00C9629B" w:rsidRPr="0086255B" w:rsidRDefault="00C9629B" w:rsidP="00C9629B">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obuhvata konkurentne tenderske postupke na tržištima u nastajanju ako postoji učesnik sa snažnom tržišnom pozicijom;</w:t>
      </w:r>
    </w:p>
    <w:p w14:paraId="1BA8E098"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38BCF1C6" w14:textId="77777777" w:rsidR="00C9629B" w:rsidRPr="0086255B" w:rsidRDefault="00C9629B" w:rsidP="00C9629B">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namijenjena je samo jednom korisniku ili vrlo ograničenom broju korisnika.</w:t>
      </w:r>
    </w:p>
    <w:p w14:paraId="43940881"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211712F5" w14:textId="77777777" w:rsidR="00C9629B" w:rsidRPr="0086255B" w:rsidRDefault="00C9629B" w:rsidP="00C9629B">
      <w:pPr>
        <w:pStyle w:val="NumPar1"/>
        <w:numPr>
          <w:ilvl w:val="0"/>
          <w:numId w:val="5"/>
        </w:numPr>
        <w:ind w:left="360" w:hanging="360"/>
        <w:rPr>
          <w:rFonts w:asciiTheme="minorHAnsi" w:hAnsiTheme="minorHAnsi" w:cstheme="minorHAnsi"/>
          <w:noProof/>
          <w:sz w:val="22"/>
        </w:rPr>
      </w:pPr>
      <w:r w:rsidRPr="0086255B">
        <w:rPr>
          <w:rFonts w:asciiTheme="minorHAnsi" w:hAnsiTheme="minorHAnsi" w:cstheme="minorHAnsi"/>
          <w:noProof/>
          <w:sz w:val="22"/>
        </w:rPr>
        <w:t xml:space="preserve">Ako je mjera pomoći usmjerena na određeni tehnološki izbor/pravac, obrazložite zašto je ta tehnologija odabrana i kako taj odabir neće obeshrabriti primjenu ili razvoj čistijih tehnologija. </w:t>
      </w:r>
    </w:p>
    <w:p w14:paraId="0D3F0F88"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474395AB" w14:textId="77777777" w:rsidR="00C9629B" w:rsidRPr="0086255B" w:rsidRDefault="00C9629B" w:rsidP="00C9629B">
      <w:pPr>
        <w:pStyle w:val="NumPar1"/>
        <w:numPr>
          <w:ilvl w:val="0"/>
          <w:numId w:val="5"/>
        </w:numPr>
        <w:ind w:left="360" w:hanging="360"/>
        <w:rPr>
          <w:rFonts w:asciiTheme="minorHAnsi" w:hAnsiTheme="minorHAnsi" w:cstheme="minorHAnsi"/>
          <w:noProof/>
          <w:sz w:val="22"/>
        </w:rPr>
      </w:pPr>
      <w:r w:rsidRPr="0086255B">
        <w:rPr>
          <w:rFonts w:asciiTheme="minorHAnsi" w:hAnsiTheme="minorHAnsi" w:cstheme="minorHAnsi"/>
          <w:noProof/>
          <w:sz w:val="22"/>
        </w:rPr>
        <w:lastRenderedPageBreak/>
        <w:t>Ako su prijavljene mjere namijenjene samo jednom korisniku ili vrlo ograničenom broju korisnika, kako bi se dokazala usklađenost sa tačkom 68 CEEAG-a:</w:t>
      </w:r>
    </w:p>
    <w:p w14:paraId="06D1A2FB" w14:textId="77777777" w:rsidR="00C9629B" w:rsidRPr="0086255B" w:rsidRDefault="00C9629B" w:rsidP="00C9629B">
      <w:pPr>
        <w:pStyle w:val="Point1letter"/>
        <w:numPr>
          <w:ilvl w:val="3"/>
          <w:numId w:val="21"/>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objasnite da li prijavljene mjere jačaju ili održavaju tržišnu snagu korisnika ili odvraćaju postojeće konkurente od širenja, podstiču njihov izlazak sa tržišta ili odvraćaju nove konkurente od ulaska na tržište. U tom smislu objasnite i da li će mjera pomoći dovesti do povećanja proizvodnog kapaciteta korisnika;</w:t>
      </w:r>
    </w:p>
    <w:p w14:paraId="33663334"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72C71852" w14:textId="77777777" w:rsidR="00C9629B" w:rsidRPr="0086255B" w:rsidRDefault="00C9629B" w:rsidP="00C9629B">
      <w:pPr>
        <w:pStyle w:val="Point1letter"/>
        <w:numPr>
          <w:ilvl w:val="3"/>
          <w:numId w:val="4"/>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 xml:space="preserve">opišite mjere koje su uvedene kako bi se ograničilo potencijalno narušavanje konkurencije uzrokovano dodjelom pomoći korisnicima. </w:t>
      </w:r>
    </w:p>
    <w:p w14:paraId="5AFCF819"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35C6D018" w14:textId="77777777" w:rsidR="00C9629B" w:rsidRPr="0086255B" w:rsidRDefault="00C9629B" w:rsidP="00C9629B">
      <w:pPr>
        <w:pStyle w:val="NumPar1"/>
        <w:numPr>
          <w:ilvl w:val="0"/>
          <w:numId w:val="5"/>
        </w:numPr>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69 CEEAG-a, objasnite:</w:t>
      </w:r>
    </w:p>
    <w:p w14:paraId="2729E99C" w14:textId="77777777" w:rsidR="00C9629B" w:rsidRPr="0086255B" w:rsidRDefault="00C9629B" w:rsidP="00C9629B">
      <w:pPr>
        <w:pStyle w:val="Point1letter"/>
        <w:numPr>
          <w:ilvl w:val="3"/>
          <w:numId w:val="22"/>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 xml:space="preserve">da li je cilj pomoći dodijeljene u okviru prijavljenih mjera očuvanje ekonomske djelatnosti u jednom regionu ili njeno privlačenje iz drugih regiona na unutrašnjem tržištu; </w:t>
      </w:r>
    </w:p>
    <w:p w14:paraId="0DF3C4B1"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5BCD648F" w14:textId="77777777" w:rsidR="00C9629B" w:rsidRPr="0086255B" w:rsidRDefault="00C9629B" w:rsidP="00C9629B">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ako je odgovor potvrdan, navedite koji je neto ekološki efekat prijavljenih mjera i na koji se način prijavljenim mjerama unapređuje postojeći nivo zaštite životne sredine u državama članicama;</w:t>
      </w:r>
    </w:p>
    <w:p w14:paraId="7197ACDF"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62CFC891" w14:textId="77777777" w:rsidR="00C9629B" w:rsidRPr="0086255B" w:rsidRDefault="00C9629B" w:rsidP="00C9629B">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na koji način pomoć dodijeljena u okviru prijavljenih mjera nema očigledne negativne efekte na konkurenciju i trgovinu;</w:t>
      </w:r>
    </w:p>
    <w:p w14:paraId="584E4FB2"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4F544484" w14:textId="77777777" w:rsidR="00C9629B" w:rsidRPr="0086255B" w:rsidRDefault="00C9629B" w:rsidP="00C9629B">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kad je riječ o individualnoj pomoći, koji su glavni razlozi zbog kojih je korisnik odabrao određenu lokaciju za ulaganja.</w:t>
      </w:r>
    </w:p>
    <w:p w14:paraId="6ED56886"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0C17BE17" w14:textId="77777777" w:rsidR="00C9629B" w:rsidRPr="0086255B" w:rsidRDefault="00C9629B" w:rsidP="00C9629B">
      <w:pPr>
        <w:pStyle w:val="NumPar1"/>
        <w:numPr>
          <w:ilvl w:val="0"/>
          <w:numId w:val="5"/>
        </w:numPr>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70 CEEAG-a:</w:t>
      </w:r>
    </w:p>
    <w:p w14:paraId="05E430EE" w14:textId="77777777" w:rsidR="00C9629B" w:rsidRPr="0086255B" w:rsidRDefault="00C9629B" w:rsidP="00C9629B">
      <w:pPr>
        <w:pStyle w:val="Point1letter"/>
        <w:numPr>
          <w:ilvl w:val="3"/>
          <w:numId w:val="23"/>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potvrdite da se pomoć u okviru prijavljene šeme može dodjeljivati u maksimalnom periodu od 10 godina od datuma donošenja odluke Komisije kojom se pomoć proglašava usklađenom;</w:t>
      </w:r>
    </w:p>
    <w:p w14:paraId="1E35D342"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11F658AE" w14:textId="77777777" w:rsidR="00C9629B" w:rsidRPr="0086255B" w:rsidRDefault="00C9629B" w:rsidP="00C9629B">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potvrdite da će vaši nadležni organi, ako žele da produže trajanje šeme nakon isteka tog maksimalnog perioda, ponovno prijaviti mjeru.</w:t>
      </w:r>
    </w:p>
    <w:p w14:paraId="32B4CC8D"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5D17FFAF" w14:textId="77777777" w:rsidR="00C9629B" w:rsidRPr="0086255B" w:rsidRDefault="00C9629B" w:rsidP="00C9629B">
      <w:pPr>
        <w:pStyle w:val="NumPar1"/>
        <w:numPr>
          <w:ilvl w:val="0"/>
          <w:numId w:val="5"/>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Ako je pomoć u obliku dozvola za emisiju gasova sa efektom staklene bašte, kako bi se dokazala usklađenost sa tačkom 275 CEEAG-a, potvrdite da je mjera u skladu sa svim sljedećim kriterijima: </w:t>
      </w:r>
    </w:p>
    <w:p w14:paraId="7CB8BAD5" w14:textId="77777777" w:rsidR="00C9629B" w:rsidRPr="0086255B" w:rsidRDefault="00C9629B" w:rsidP="00C9629B">
      <w:pPr>
        <w:pStyle w:val="Point1letter"/>
        <w:numPr>
          <w:ilvl w:val="3"/>
          <w:numId w:val="24"/>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izbor korisnika pomoći zasniva se na objektivnim i transparentnim kriterijumima, a pomoć se, u principu, dodjeljuje na isti način svim konkurentima u istom sektoru ako se nalaze u sličnoj činjeničnoj situaciji;</w:t>
      </w:r>
    </w:p>
    <w:p w14:paraId="55E46A8C"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36D86FBA" w14:textId="77777777" w:rsidR="00C9629B" w:rsidRPr="0086255B" w:rsidRDefault="00C9629B" w:rsidP="00C9629B">
      <w:pPr>
        <w:numPr>
          <w:ilvl w:val="3"/>
          <w:numId w:val="3"/>
        </w:numPr>
        <w:tabs>
          <w:tab w:val="clear" w:pos="1417"/>
        </w:tabs>
        <w:spacing w:before="120" w:after="120" w:line="240" w:lineRule="auto"/>
        <w:ind w:left="720" w:hanging="360"/>
        <w:jc w:val="both"/>
        <w:rPr>
          <w:rFonts w:cstheme="minorHAnsi"/>
          <w:noProof/>
        </w:rPr>
      </w:pPr>
      <w:r w:rsidRPr="0086255B">
        <w:rPr>
          <w:rFonts w:cstheme="minorHAnsi"/>
          <w:noProof/>
        </w:rPr>
        <w:t xml:space="preserve">metodologija raspodjele ne favorizuje određena privredna društva ili određene sektore; </w:t>
      </w:r>
    </w:p>
    <w:p w14:paraId="2842F782"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lastRenderedPageBreak/>
        <w:tab/>
      </w:r>
    </w:p>
    <w:p w14:paraId="2C1DEDE6" w14:textId="77777777" w:rsidR="00C9629B" w:rsidRPr="0086255B" w:rsidRDefault="00C9629B" w:rsidP="00C9629B">
      <w:pPr>
        <w:numPr>
          <w:ilvl w:val="3"/>
          <w:numId w:val="3"/>
        </w:numPr>
        <w:tabs>
          <w:tab w:val="clear" w:pos="1417"/>
        </w:tabs>
        <w:spacing w:before="120" w:after="120" w:line="240" w:lineRule="auto"/>
        <w:ind w:left="720" w:hanging="360"/>
        <w:jc w:val="both"/>
        <w:rPr>
          <w:rFonts w:cstheme="minorHAnsi"/>
          <w:noProof/>
        </w:rPr>
      </w:pPr>
      <w:r w:rsidRPr="0086255B">
        <w:rPr>
          <w:rFonts w:cstheme="minorHAnsi"/>
          <w:noProof/>
        </w:rPr>
        <w:t>ako se metodologijom raspodjele favorizuju određena privredna društva ili određeni sektori, objasnite kako se to opravdava ekološkom logikom same šeme ili je neophodno da bi se osigurala usklađenost sa ostalim politikama zaštite životne sredine;</w:t>
      </w:r>
    </w:p>
    <w:p w14:paraId="133C68D3"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0F8E1915" w14:textId="77777777" w:rsidR="00C9629B" w:rsidRPr="0086255B" w:rsidRDefault="00C9629B" w:rsidP="00C9629B">
      <w:pPr>
        <w:numPr>
          <w:ilvl w:val="3"/>
          <w:numId w:val="3"/>
        </w:numPr>
        <w:tabs>
          <w:tab w:val="clear" w:pos="1417"/>
        </w:tabs>
        <w:spacing w:before="120" w:after="120" w:line="240" w:lineRule="auto"/>
        <w:ind w:left="720" w:hanging="360"/>
        <w:jc w:val="both"/>
        <w:rPr>
          <w:rFonts w:cstheme="minorHAnsi"/>
          <w:noProof/>
        </w:rPr>
      </w:pPr>
      <w:r w:rsidRPr="0086255B">
        <w:rPr>
          <w:rFonts w:cstheme="minorHAnsi"/>
          <w:noProof/>
        </w:rPr>
        <w:t>novi učesnici na tržištu ne dobijaju dozvole ili odobrenja po povoljnijim uslovima od postojećih privrednih društava koja posluju na tim istim tržištima;</w:t>
      </w:r>
    </w:p>
    <w:p w14:paraId="5964F778"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1176A351" w14:textId="77777777" w:rsidR="00C9629B" w:rsidRPr="0086255B" w:rsidRDefault="00C9629B" w:rsidP="00C9629B">
      <w:pPr>
        <w:numPr>
          <w:ilvl w:val="3"/>
          <w:numId w:val="3"/>
        </w:numPr>
        <w:tabs>
          <w:tab w:val="clear" w:pos="1417"/>
        </w:tabs>
        <w:spacing w:before="120" w:after="120" w:line="240" w:lineRule="auto"/>
        <w:ind w:left="720" w:hanging="360"/>
        <w:jc w:val="both"/>
        <w:rPr>
          <w:rFonts w:cstheme="minorHAnsi"/>
          <w:noProof/>
        </w:rPr>
      </w:pPr>
      <w:r w:rsidRPr="0086255B">
        <w:rPr>
          <w:rFonts w:cstheme="minorHAnsi"/>
          <w:noProof/>
        </w:rPr>
        <w:t>dodjela većeg broja dozvola postojećim postrojenjima u poređenju sa novim učesnicima ne stvara neopravdane prepreke za ulazak na tržište.</w:t>
      </w:r>
    </w:p>
    <w:p w14:paraId="0F642369"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0FAF237A" w14:textId="77777777" w:rsidR="00C9629B" w:rsidRPr="0086255B" w:rsidRDefault="00C9629B" w:rsidP="00C9629B">
      <w:pPr>
        <w:pStyle w:val="Heading1"/>
        <w:keepNext/>
        <w:numPr>
          <w:ilvl w:val="0"/>
          <w:numId w:val="7"/>
        </w:numPr>
        <w:tabs>
          <w:tab w:val="clear" w:pos="850"/>
        </w:tabs>
        <w:spacing w:before="120" w:after="120"/>
        <w:ind w:left="360" w:right="0" w:hanging="360"/>
        <w:jc w:val="both"/>
        <w:rPr>
          <w:rFonts w:asciiTheme="minorHAnsi" w:hAnsiTheme="minorHAnsi" w:cstheme="minorHAnsi"/>
          <w:noProof/>
          <w:sz w:val="22"/>
          <w:szCs w:val="22"/>
        </w:rPr>
      </w:pPr>
      <w:r w:rsidRPr="0086255B">
        <w:rPr>
          <w:rFonts w:asciiTheme="minorHAnsi" w:hAnsiTheme="minorHAnsi" w:cstheme="minorHAnsi"/>
          <w:noProof/>
          <w:sz w:val="22"/>
          <w:szCs w:val="22"/>
        </w:rPr>
        <w:tab/>
        <w:t>Razmatranje pozitivnih efekata pomoći u odnosu na negativne efekte na konkurenciju i trgovinu</w:t>
      </w:r>
    </w:p>
    <w:p w14:paraId="4CF0B8DD" w14:textId="77777777" w:rsidR="00C9629B" w:rsidRPr="0086255B" w:rsidRDefault="00C9629B" w:rsidP="00C9629B">
      <w:pPr>
        <w:spacing w:before="120" w:after="120"/>
        <w:jc w:val="both"/>
        <w:rPr>
          <w:rFonts w:cstheme="minorHAnsi"/>
          <w:i/>
          <w:noProof/>
        </w:rPr>
      </w:pPr>
      <w:r w:rsidRPr="0086255B">
        <w:rPr>
          <w:rFonts w:cstheme="minorHAnsi"/>
          <w:i/>
          <w:noProof/>
        </w:rPr>
        <w:t xml:space="preserve">Za unos podataka u ovom odjeljku vidjeti odjeljak 3.3. (tačke od 71 do 76) CEEAG-a. </w:t>
      </w:r>
    </w:p>
    <w:p w14:paraId="49F0E34E" w14:textId="77777777" w:rsidR="00C9629B" w:rsidRPr="0086255B" w:rsidRDefault="00C9629B" w:rsidP="00C9629B">
      <w:pPr>
        <w:pStyle w:val="NumPar1"/>
        <w:numPr>
          <w:ilvl w:val="0"/>
          <w:numId w:val="5"/>
        </w:numPr>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72 CEEAG-a, objasnite da li djelatnosti koje se podržavaju u okviru prijavljene mjere/a ispunjavaju kriterijume za ekološki održive ekonomske djelatnosti iz člana 3 Regulative (EU) 2020/852 Evropskog parlamenta i Savjeta</w:t>
      </w:r>
      <w:r w:rsidRPr="0086255B">
        <w:rPr>
          <w:rStyle w:val="FootnoteReference"/>
          <w:rFonts w:asciiTheme="minorHAnsi" w:hAnsiTheme="minorHAnsi" w:cstheme="minorHAnsi"/>
          <w:noProof/>
          <w:sz w:val="22"/>
          <w:lang w:eastAsia="en-GB"/>
        </w:rPr>
        <w:footnoteReference w:id="16"/>
      </w:r>
      <w:r w:rsidRPr="0086255B">
        <w:rPr>
          <w:rFonts w:asciiTheme="minorHAnsi" w:hAnsiTheme="minorHAnsi" w:cstheme="minorHAnsi"/>
          <w:noProof/>
          <w:sz w:val="22"/>
        </w:rPr>
        <w:t>, uključujući načelo „ne nanosi značajnu štetu”, ili druge uporedive metodologije.</w:t>
      </w:r>
    </w:p>
    <w:p w14:paraId="394D0C31"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5BD97A02" w14:textId="77777777" w:rsidR="00C9629B" w:rsidRPr="0086255B" w:rsidRDefault="00C9629B" w:rsidP="00C9629B">
      <w:pPr>
        <w:pStyle w:val="NumPar1"/>
        <w:numPr>
          <w:ilvl w:val="0"/>
          <w:numId w:val="5"/>
        </w:numPr>
        <w:ind w:left="360" w:hanging="360"/>
        <w:rPr>
          <w:rFonts w:asciiTheme="minorHAnsi" w:hAnsiTheme="minorHAnsi" w:cstheme="minorHAnsi"/>
          <w:noProof/>
          <w:sz w:val="22"/>
        </w:rPr>
      </w:pPr>
      <w:r w:rsidRPr="0086255B">
        <w:rPr>
          <w:rFonts w:asciiTheme="minorHAnsi" w:hAnsiTheme="minorHAnsi" w:cstheme="minorHAnsi"/>
          <w:noProof/>
          <w:sz w:val="22"/>
        </w:rPr>
        <w:t>(U slučaju konkurentnog tendesrkog postupka) objasnite da li prijavljena mjera/e sadrži elemente koji olakšavaju učešće MSP-ova u konkurentnim tenderskim postupcima. Ako je odgovor potvrdan, navedite podatke o tim elementima i obrazložite na koji način pozitivni efekti kojima se obezbjeđuje učešće MSP-ova u prijavljenim mjerama prevazilaze moguće negativne efekte na konkurenciju.</w:t>
      </w:r>
    </w:p>
    <w:p w14:paraId="412A8022"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tbl>
      <w:tblPr>
        <w:tblW w:w="5000" w:type="pct"/>
        <w:tblBorders>
          <w:top w:val="single" w:sz="4" w:space="0" w:color="auto"/>
          <w:left w:val="single" w:sz="4" w:space="0" w:color="auto"/>
          <w:bottom w:val="single" w:sz="4" w:space="0" w:color="auto"/>
          <w:right w:val="single" w:sz="4" w:space="0" w:color="auto"/>
        </w:tblBorders>
        <w:shd w:val="pct15" w:color="auto" w:fill="auto"/>
        <w:tblLook w:val="04A0" w:firstRow="1" w:lastRow="0" w:firstColumn="1" w:lastColumn="0" w:noHBand="0" w:noVBand="1"/>
      </w:tblPr>
      <w:tblGrid>
        <w:gridCol w:w="9350"/>
      </w:tblGrid>
      <w:tr w:rsidR="00C9629B" w:rsidRPr="0086255B" w14:paraId="26270AAE" w14:textId="77777777" w:rsidTr="00D507D9">
        <w:tc>
          <w:tcPr>
            <w:tcW w:w="5000" w:type="pct"/>
            <w:shd w:val="pct15" w:color="auto" w:fill="auto"/>
          </w:tcPr>
          <w:p w14:paraId="1682774A" w14:textId="77777777" w:rsidR="00C9629B" w:rsidRPr="0086255B" w:rsidRDefault="00C9629B" w:rsidP="00D507D9">
            <w:pPr>
              <w:spacing w:before="120" w:after="120"/>
              <w:ind w:left="360" w:hanging="360"/>
              <w:jc w:val="both"/>
              <w:rPr>
                <w:rFonts w:cstheme="minorHAnsi"/>
                <w:b/>
                <w:iCs/>
                <w:noProof/>
                <w:lang w:eastAsia="hr-HR" w:bidi="hr-HR"/>
              </w:rPr>
            </w:pPr>
            <w:r w:rsidRPr="0086255B">
              <w:rPr>
                <w:rFonts w:cstheme="minorHAnsi"/>
                <w:b/>
                <w:noProof/>
                <w:lang w:eastAsia="hr-HR" w:bidi="hr-HR"/>
              </w:rPr>
              <w:t>Odjeljak C: Evaluacija</w:t>
            </w:r>
          </w:p>
        </w:tc>
      </w:tr>
    </w:tbl>
    <w:p w14:paraId="42D182E9" w14:textId="77777777" w:rsidR="00C9629B" w:rsidRPr="0086255B" w:rsidRDefault="00C9629B" w:rsidP="00C9629B">
      <w:pPr>
        <w:spacing w:before="120" w:after="120"/>
        <w:jc w:val="both"/>
        <w:rPr>
          <w:rFonts w:cstheme="minorHAnsi"/>
          <w:i/>
          <w:iCs/>
          <w:noProof/>
        </w:rPr>
      </w:pPr>
      <w:r w:rsidRPr="0086255B">
        <w:rPr>
          <w:rFonts w:cstheme="minorHAnsi"/>
          <w:i/>
          <w:noProof/>
        </w:rPr>
        <w:t>Za unos podataka u ovom odjeljku vidjeti odjeljak 5 (tačke od 455 do 463) CEEAG-a.</w:t>
      </w:r>
    </w:p>
    <w:p w14:paraId="7A980C58" w14:textId="77777777" w:rsidR="00C9629B" w:rsidRPr="0086255B" w:rsidRDefault="00C9629B" w:rsidP="00C9629B">
      <w:pPr>
        <w:pStyle w:val="NumPar1"/>
        <w:numPr>
          <w:ilvl w:val="0"/>
          <w:numId w:val="5"/>
        </w:numPr>
        <w:ind w:left="360" w:hanging="360"/>
        <w:rPr>
          <w:rFonts w:asciiTheme="minorHAnsi" w:hAnsiTheme="minorHAnsi" w:cstheme="minorHAnsi"/>
          <w:noProof/>
          <w:sz w:val="22"/>
        </w:rPr>
      </w:pPr>
      <w:r w:rsidRPr="0086255B">
        <w:rPr>
          <w:rFonts w:asciiTheme="minorHAnsi" w:hAnsiTheme="minorHAnsi" w:cstheme="minorHAnsi"/>
          <w:noProof/>
          <w:sz w:val="22"/>
        </w:rPr>
        <w:t>Ako prijavljene mjere premašuju pragove budžeta/troškova iz tačke 456 CEEAG-a, objasnite zašto smatrate da bi trebalo primjeniti izuzetak iz tačke 457 CEEAG-a ili priložite uz ovaj obrazac prijave prilog koji sadrži nacrt plana evaluacije koji obuhvata područje primjene navedeno u tački 458 CEEAG-a</w:t>
      </w:r>
      <w:r w:rsidRPr="0086255B">
        <w:rPr>
          <w:rStyle w:val="FootnoteReference"/>
          <w:rFonts w:asciiTheme="minorHAnsi" w:hAnsiTheme="minorHAnsi" w:cstheme="minorHAnsi"/>
          <w:noProof/>
          <w:sz w:val="22"/>
          <w:lang w:eastAsia="en-GB"/>
        </w:rPr>
        <w:footnoteReference w:id="17"/>
      </w:r>
      <w:r w:rsidRPr="0086255B">
        <w:rPr>
          <w:rFonts w:asciiTheme="minorHAnsi" w:hAnsiTheme="minorHAnsi" w:cstheme="minorHAnsi"/>
          <w:noProof/>
          <w:sz w:val="22"/>
        </w:rPr>
        <w:t>.</w:t>
      </w:r>
    </w:p>
    <w:p w14:paraId="361E74CB"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49736E15" w14:textId="77777777" w:rsidR="00C9629B" w:rsidRPr="0086255B" w:rsidRDefault="00C9629B" w:rsidP="00C9629B">
      <w:pPr>
        <w:pStyle w:val="NumPar1"/>
        <w:numPr>
          <w:ilvl w:val="0"/>
          <w:numId w:val="5"/>
        </w:numPr>
        <w:ind w:left="360" w:hanging="360"/>
        <w:rPr>
          <w:rFonts w:asciiTheme="minorHAnsi" w:hAnsiTheme="minorHAnsi" w:cstheme="minorHAnsi"/>
          <w:noProof/>
          <w:sz w:val="22"/>
        </w:rPr>
      </w:pPr>
      <w:r w:rsidRPr="0086255B">
        <w:rPr>
          <w:rFonts w:asciiTheme="minorHAnsi" w:hAnsiTheme="minorHAnsi" w:cstheme="minorHAnsi"/>
          <w:noProof/>
          <w:sz w:val="22"/>
        </w:rPr>
        <w:t>Ako je priložen nacrt plana evaluacije:</w:t>
      </w:r>
    </w:p>
    <w:p w14:paraId="6C52E967" w14:textId="77777777" w:rsidR="00C9629B" w:rsidRPr="0086255B" w:rsidRDefault="00C9629B" w:rsidP="00C9629B">
      <w:pPr>
        <w:pStyle w:val="Point1letter"/>
        <w:numPr>
          <w:ilvl w:val="3"/>
          <w:numId w:val="25"/>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navedite u nastavku rezime ovog nacrta plana evaluacije iz Priloga;</w:t>
      </w:r>
    </w:p>
    <w:p w14:paraId="43D10316"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lastRenderedPageBreak/>
        <w:tab/>
      </w:r>
    </w:p>
    <w:p w14:paraId="447047C5" w14:textId="77777777" w:rsidR="00C9629B" w:rsidRPr="0086255B" w:rsidRDefault="00C9629B" w:rsidP="00C9629B">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potvrdite da će se poštovati tačka 460 CEEAG-a;</w:t>
      </w:r>
    </w:p>
    <w:p w14:paraId="227E362C"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5EF0F526" w14:textId="77777777" w:rsidR="00C9629B" w:rsidRPr="0086255B" w:rsidRDefault="00C9629B" w:rsidP="00C9629B">
      <w:pPr>
        <w:pStyle w:val="Point1letter"/>
        <w:ind w:left="720" w:hanging="360"/>
        <w:rPr>
          <w:rFonts w:asciiTheme="minorHAnsi" w:hAnsiTheme="minorHAnsi" w:cstheme="minorHAnsi"/>
          <w:noProof/>
          <w:sz w:val="22"/>
        </w:rPr>
      </w:pPr>
      <w:r w:rsidRPr="0086255B">
        <w:rPr>
          <w:rFonts w:asciiTheme="minorHAnsi" w:hAnsiTheme="minorHAnsi" w:cstheme="minorHAnsi"/>
          <w:noProof/>
          <w:sz w:val="22"/>
        </w:rPr>
        <w:t>navedite datum i link na internet stranicu na kojoj će plan evaluacije biti javno dostupan.</w:t>
      </w:r>
    </w:p>
    <w:p w14:paraId="5CF9915D"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6D4A7F77" w14:textId="77777777" w:rsidR="00C9629B" w:rsidRPr="0086255B" w:rsidRDefault="00C9629B" w:rsidP="00C9629B">
      <w:pPr>
        <w:pStyle w:val="NumPar1"/>
        <w:numPr>
          <w:ilvl w:val="0"/>
          <w:numId w:val="5"/>
        </w:numPr>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 se dokazala usklađenost sa tačkom 459 podtačka (b) CEEAG-a, ako za šemu pomoći nije potrebna </w:t>
      </w:r>
      <w:r w:rsidRPr="0086255B">
        <w:rPr>
          <w:rFonts w:asciiTheme="minorHAnsi" w:hAnsiTheme="minorHAnsi" w:cstheme="minorHAnsi"/>
          <w:i/>
          <w:noProof/>
          <w:sz w:val="22"/>
        </w:rPr>
        <w:t>ex post</w:t>
      </w:r>
      <w:r w:rsidRPr="0086255B">
        <w:rPr>
          <w:rFonts w:asciiTheme="minorHAnsi" w:hAnsiTheme="minorHAnsi" w:cstheme="minorHAnsi"/>
          <w:noProof/>
          <w:sz w:val="22"/>
        </w:rPr>
        <w:t xml:space="preserve"> evaluacija, a njeno trajanje prelazi tri godine, potvrdite da ćete dostaviti nacrt plana evaluacije u roku od 30 radnih dana nakon značajne izmjene kojom se budžet šeme povećava na više od 150 miliona EUR u bilo kojoj godini ili više od 750 miliona EUR tokom ukupnog trajanja šeme. </w:t>
      </w:r>
    </w:p>
    <w:p w14:paraId="5E08DA89"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14B49F9A" w14:textId="77777777" w:rsidR="00C9629B" w:rsidRPr="0086255B" w:rsidRDefault="00C9629B" w:rsidP="00C9629B">
      <w:pPr>
        <w:pStyle w:val="NumPar1"/>
        <w:numPr>
          <w:ilvl w:val="0"/>
          <w:numId w:val="5"/>
        </w:numPr>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 se dokazala usklađenost sa tačkom 459 podtačka (c) CEEAG-a, ako za šemu pomoći trenutno nije potrebna </w:t>
      </w:r>
      <w:r w:rsidRPr="0086255B">
        <w:rPr>
          <w:rFonts w:asciiTheme="minorHAnsi" w:hAnsiTheme="minorHAnsi" w:cstheme="minorHAnsi"/>
          <w:i/>
          <w:noProof/>
          <w:sz w:val="22"/>
        </w:rPr>
        <w:t>ex post</w:t>
      </w:r>
      <w:r w:rsidRPr="0086255B">
        <w:rPr>
          <w:rFonts w:asciiTheme="minorHAnsi" w:hAnsiTheme="minorHAnsi" w:cstheme="minorHAnsi"/>
          <w:noProof/>
          <w:sz w:val="22"/>
        </w:rPr>
        <w:t xml:space="preserve"> evaluacija, u nastavku potvrdite da se država članica obavezuje da dostavi nacrt plana evaluacije </w:t>
      </w:r>
      <w:r w:rsidRPr="0086255B">
        <w:rPr>
          <w:rFonts w:asciiTheme="minorHAnsi" w:hAnsiTheme="minorHAnsi" w:cstheme="minorHAnsi"/>
          <w:noProof/>
          <w:sz w:val="22"/>
          <w:shd w:val="clear" w:color="auto" w:fill="FFFFFF"/>
        </w:rPr>
        <w:t>u roku od 30 radnih dana nakon što se u zvaničnoj računovodstvenoj dokumentaciji proknjiže rashodi koji prelaze 150 miliona EUR u prethodnoj godinu.</w:t>
      </w:r>
      <w:r w:rsidRPr="0086255B">
        <w:rPr>
          <w:rFonts w:asciiTheme="minorHAnsi" w:hAnsiTheme="minorHAnsi" w:cstheme="minorHAnsi"/>
          <w:noProof/>
          <w:sz w:val="22"/>
        </w:rPr>
        <w:t xml:space="preserve"> </w:t>
      </w:r>
    </w:p>
    <w:p w14:paraId="705B84A6"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01FCCCDE" w14:textId="77777777" w:rsidR="00C9629B" w:rsidRPr="0086255B" w:rsidRDefault="00C9629B" w:rsidP="00C9629B">
      <w:pPr>
        <w:pStyle w:val="NumPar1"/>
        <w:numPr>
          <w:ilvl w:val="0"/>
          <w:numId w:val="5"/>
        </w:numPr>
        <w:ind w:left="360" w:hanging="360"/>
        <w:rPr>
          <w:rFonts w:asciiTheme="minorHAnsi" w:hAnsiTheme="minorHAnsi" w:cstheme="minorHAnsi"/>
          <w:noProof/>
          <w:sz w:val="22"/>
        </w:rPr>
      </w:pPr>
      <w:r w:rsidRPr="0086255B">
        <w:rPr>
          <w:rFonts w:asciiTheme="minorHAnsi" w:hAnsiTheme="minorHAnsi" w:cstheme="minorHAnsi"/>
          <w:noProof/>
          <w:sz w:val="22"/>
        </w:rPr>
        <w:t>Kako bi se potvrdila usklađenost sa tačkom 461 CEEAG-a:</w:t>
      </w:r>
    </w:p>
    <w:p w14:paraId="5A4C1E2A" w14:textId="77777777" w:rsidR="00C9629B" w:rsidRPr="0086255B" w:rsidRDefault="00C9629B" w:rsidP="00C9629B">
      <w:pPr>
        <w:pStyle w:val="Point1letter"/>
        <w:numPr>
          <w:ilvl w:val="3"/>
          <w:numId w:val="26"/>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navedite da li je nezavisni ekspert već odabran ili će biti odabran u budućnosti;</w:t>
      </w:r>
    </w:p>
    <w:p w14:paraId="352E0FF8"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43277E5A" w14:textId="77777777" w:rsidR="00C9629B" w:rsidRPr="0086255B" w:rsidRDefault="00C9629B" w:rsidP="00C9629B">
      <w:pPr>
        <w:pStyle w:val="Point1letter"/>
        <w:ind w:left="720" w:hanging="360"/>
        <w:rPr>
          <w:rFonts w:asciiTheme="minorHAnsi" w:hAnsiTheme="minorHAnsi" w:cstheme="minorHAnsi"/>
          <w:noProof/>
          <w:sz w:val="22"/>
        </w:rPr>
      </w:pPr>
      <w:r w:rsidRPr="0086255B">
        <w:rPr>
          <w:rFonts w:asciiTheme="minorHAnsi" w:hAnsiTheme="minorHAnsi" w:cstheme="minorHAnsi"/>
          <w:noProof/>
          <w:sz w:val="22"/>
        </w:rPr>
        <w:t>unesite podatke o postupku odabira eksperta;</w:t>
      </w:r>
    </w:p>
    <w:p w14:paraId="5D2713B1"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3F2B54B4" w14:textId="77777777" w:rsidR="00C9629B" w:rsidRPr="0086255B" w:rsidRDefault="00C9629B" w:rsidP="00C9629B">
      <w:pPr>
        <w:pStyle w:val="Point1letter"/>
        <w:ind w:left="720" w:hanging="360"/>
        <w:rPr>
          <w:rFonts w:asciiTheme="minorHAnsi" w:hAnsiTheme="minorHAnsi" w:cstheme="minorHAnsi"/>
          <w:noProof/>
          <w:sz w:val="22"/>
        </w:rPr>
      </w:pPr>
      <w:r w:rsidRPr="0086255B">
        <w:rPr>
          <w:rFonts w:asciiTheme="minorHAnsi" w:hAnsiTheme="minorHAnsi" w:cstheme="minorHAnsi"/>
          <w:noProof/>
          <w:sz w:val="22"/>
        </w:rPr>
        <w:t>obrazložite na koji je način ekspert nezavisan od nadležnog organa koji dodjeljuje pomoć.</w:t>
      </w:r>
    </w:p>
    <w:p w14:paraId="7C5D4A57"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21F9DA5A" w14:textId="77777777" w:rsidR="00C9629B" w:rsidRPr="0086255B" w:rsidRDefault="00C9629B" w:rsidP="00C9629B">
      <w:pPr>
        <w:pStyle w:val="NumPar1"/>
        <w:numPr>
          <w:ilvl w:val="0"/>
          <w:numId w:val="5"/>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 se potvrdila usklađenost sa tačkom 461 CEEAG-a: </w:t>
      </w:r>
    </w:p>
    <w:p w14:paraId="093A7428" w14:textId="77777777" w:rsidR="00C9629B" w:rsidRPr="0086255B" w:rsidRDefault="00C9629B" w:rsidP="00C9629B">
      <w:pPr>
        <w:pStyle w:val="Point2letter"/>
        <w:tabs>
          <w:tab w:val="clear" w:pos="1984"/>
        </w:tabs>
        <w:ind w:left="720" w:hanging="360"/>
        <w:rPr>
          <w:rFonts w:asciiTheme="minorHAnsi" w:hAnsiTheme="minorHAnsi" w:cstheme="minorHAnsi"/>
          <w:noProof/>
          <w:sz w:val="22"/>
        </w:rPr>
      </w:pPr>
      <w:r w:rsidRPr="0086255B">
        <w:rPr>
          <w:rFonts w:asciiTheme="minorHAnsi" w:hAnsiTheme="minorHAnsi" w:cstheme="minorHAnsi"/>
          <w:noProof/>
          <w:sz w:val="22"/>
        </w:rPr>
        <w:t>navedite predložene rokove za podnošenje privremenog i završnog izvještaja o evaluaciji. Napominjemo da se završni izvještaj o evaluaciji mora blagovremeno dostaviti Komisiji kako bi se omogućila procjena mogućeg produženja šeme pomoći, a najkasnije devet mjeseci prije isteka šeme, u skladu sa tačkom 463 CEEAG-a. Napominjemo i da bi se taj rok mogao skratiti za šeme kod kojih se zahtjev za evaluaciju aktivira u posljednje dvije godine njihove primjene;</w:t>
      </w:r>
    </w:p>
    <w:p w14:paraId="2286E49F"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p w14:paraId="2BFD632E" w14:textId="77777777" w:rsidR="00C9629B" w:rsidRPr="0086255B" w:rsidRDefault="00C9629B" w:rsidP="00C9629B">
      <w:pPr>
        <w:pStyle w:val="Point2letter"/>
        <w:tabs>
          <w:tab w:val="clear" w:pos="1984"/>
        </w:tabs>
        <w:ind w:left="720" w:hanging="360"/>
        <w:rPr>
          <w:rFonts w:asciiTheme="minorHAnsi" w:hAnsiTheme="minorHAnsi" w:cstheme="minorHAnsi"/>
          <w:noProof/>
          <w:sz w:val="22"/>
        </w:rPr>
      </w:pPr>
      <w:r w:rsidRPr="0086255B">
        <w:rPr>
          <w:rFonts w:asciiTheme="minorHAnsi" w:hAnsiTheme="minorHAnsi" w:cstheme="minorHAnsi"/>
          <w:noProof/>
          <w:sz w:val="22"/>
        </w:rPr>
        <w:t>potvrdite da će privremeni i završni izvještaj o evaluaciji biti objavljen. Navedite datum i link na internet stranicu na kojoj će ovi izvještaji biti dostupni javnosti.</w:t>
      </w:r>
    </w:p>
    <w:p w14:paraId="32D2B720"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350"/>
      </w:tblGrid>
      <w:tr w:rsidR="00C9629B" w:rsidRPr="0086255B" w14:paraId="0E47E14A" w14:textId="77777777" w:rsidTr="00D507D9">
        <w:tc>
          <w:tcPr>
            <w:tcW w:w="5000" w:type="pct"/>
            <w:shd w:val="pct15" w:color="auto" w:fill="auto"/>
          </w:tcPr>
          <w:p w14:paraId="58C8112D" w14:textId="77777777" w:rsidR="00C9629B" w:rsidRPr="0086255B" w:rsidRDefault="00C9629B" w:rsidP="00D507D9">
            <w:pPr>
              <w:spacing w:before="120" w:after="120"/>
              <w:jc w:val="both"/>
              <w:rPr>
                <w:rFonts w:cstheme="minorHAnsi"/>
                <w:b/>
                <w:iCs/>
                <w:noProof/>
                <w:lang w:eastAsia="hr-HR" w:bidi="hr-HR"/>
              </w:rPr>
            </w:pPr>
            <w:r w:rsidRPr="0086255B">
              <w:rPr>
                <w:rFonts w:cstheme="minorHAnsi"/>
                <w:b/>
                <w:noProof/>
                <w:lang w:eastAsia="hr-HR" w:bidi="hr-HR"/>
              </w:rPr>
              <w:t>Odjeljak D: Izvještavanje i praćenje</w:t>
            </w:r>
          </w:p>
        </w:tc>
      </w:tr>
    </w:tbl>
    <w:p w14:paraId="769A839C" w14:textId="77777777" w:rsidR="00C9629B" w:rsidRPr="0086255B" w:rsidRDefault="00C9629B" w:rsidP="00C9629B">
      <w:pPr>
        <w:spacing w:before="120" w:after="120"/>
        <w:jc w:val="both"/>
        <w:rPr>
          <w:rFonts w:cstheme="minorHAnsi"/>
          <w:i/>
          <w:iCs/>
          <w:noProof/>
        </w:rPr>
      </w:pPr>
      <w:r w:rsidRPr="0086255B">
        <w:rPr>
          <w:rFonts w:cstheme="minorHAnsi"/>
          <w:i/>
          <w:noProof/>
        </w:rPr>
        <w:t>Za unos podataka u ovom odjeljku vidjeti odjeljak 6 (tačke 464 i 465) CEEAG-a.</w:t>
      </w:r>
    </w:p>
    <w:p w14:paraId="20B7EC90" w14:textId="77777777" w:rsidR="00C9629B" w:rsidRPr="0086255B" w:rsidRDefault="00C9629B" w:rsidP="00C9629B">
      <w:pPr>
        <w:pStyle w:val="NumPar1"/>
        <w:numPr>
          <w:ilvl w:val="0"/>
          <w:numId w:val="5"/>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Potvrdite da će država članica ispuniti zahtjeve za izvještavanje i praćenje iz odjeljka 6 tačke 464 i 465 CEEAG-a.</w:t>
      </w:r>
    </w:p>
    <w:p w14:paraId="4AFB1193" w14:textId="77777777" w:rsidR="00C9629B" w:rsidRPr="0086255B" w:rsidRDefault="00C9629B" w:rsidP="00C9629B">
      <w:pPr>
        <w:tabs>
          <w:tab w:val="left" w:leader="dot" w:pos="9072"/>
        </w:tabs>
        <w:spacing w:before="120" w:after="120"/>
        <w:jc w:val="both"/>
        <w:rPr>
          <w:rFonts w:cstheme="minorHAnsi"/>
          <w:noProof/>
        </w:rPr>
      </w:pPr>
      <w:r w:rsidRPr="0086255B">
        <w:rPr>
          <w:rFonts w:cstheme="minorHAnsi"/>
          <w:noProof/>
        </w:rPr>
        <w:lastRenderedPageBreak/>
        <w:tab/>
      </w:r>
    </w:p>
    <w:p w14:paraId="34DC3663" w14:textId="77777777" w:rsidR="001E27D7" w:rsidRDefault="001E27D7">
      <w:bookmarkStart w:id="2" w:name="_GoBack"/>
      <w:bookmarkEnd w:id="2"/>
    </w:p>
    <w:sectPr w:rsidR="001E27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72E6C" w14:textId="77777777" w:rsidR="00F67D40" w:rsidRDefault="00F67D40" w:rsidP="00C9629B">
      <w:pPr>
        <w:spacing w:after="0" w:line="240" w:lineRule="auto"/>
      </w:pPr>
      <w:r>
        <w:separator/>
      </w:r>
    </w:p>
  </w:endnote>
  <w:endnote w:type="continuationSeparator" w:id="0">
    <w:p w14:paraId="3C55C5F6" w14:textId="77777777" w:rsidR="00F67D40" w:rsidRDefault="00F67D40" w:rsidP="00C96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23B1B" w14:textId="77777777" w:rsidR="00F67D40" w:rsidRDefault="00F67D40" w:rsidP="00C9629B">
      <w:pPr>
        <w:spacing w:after="0" w:line="240" w:lineRule="auto"/>
      </w:pPr>
      <w:r>
        <w:separator/>
      </w:r>
    </w:p>
  </w:footnote>
  <w:footnote w:type="continuationSeparator" w:id="0">
    <w:p w14:paraId="3F7D2463" w14:textId="77777777" w:rsidR="00F67D40" w:rsidRDefault="00F67D40" w:rsidP="00C9629B">
      <w:pPr>
        <w:spacing w:after="0" w:line="240" w:lineRule="auto"/>
      </w:pPr>
      <w:r>
        <w:continuationSeparator/>
      </w:r>
    </w:p>
  </w:footnote>
  <w:footnote w:id="1">
    <w:p w14:paraId="1CDE1643" w14:textId="77777777" w:rsidR="00C9629B" w:rsidRPr="004E6EC5" w:rsidRDefault="00C9629B" w:rsidP="00C9629B">
      <w:pPr>
        <w:pStyle w:val="FootnoteText"/>
        <w:spacing w:before="0"/>
        <w:ind w:left="0" w:firstLine="0"/>
        <w:contextualSpacing/>
        <w:rPr>
          <w:rFonts w:asciiTheme="minorHAnsi" w:hAnsiTheme="minorHAnsi" w:cstheme="minorHAnsi"/>
        </w:rPr>
      </w:pPr>
      <w:r w:rsidRPr="001D3786">
        <w:rPr>
          <w:rStyle w:val="FootnoteReference"/>
          <w:rFonts w:asciiTheme="minorHAnsi" w:hAnsiTheme="minorHAnsi" w:cstheme="minorHAnsi"/>
        </w:rPr>
        <w:footnoteRef/>
      </w:r>
      <w:r>
        <w:rPr>
          <w:rFonts w:asciiTheme="minorHAnsi" w:hAnsiTheme="minorHAnsi" w:cstheme="minorHAnsi"/>
        </w:rPr>
        <w:t xml:space="preserve"> </w:t>
      </w:r>
      <w:proofErr w:type="spellStart"/>
      <w:r w:rsidRPr="001D3786">
        <w:rPr>
          <w:rFonts w:asciiTheme="minorHAnsi" w:hAnsiTheme="minorHAnsi" w:cstheme="minorHAnsi"/>
        </w:rPr>
        <w:t>Napominjemo</w:t>
      </w:r>
      <w:proofErr w:type="spellEnd"/>
      <w:r w:rsidRPr="001D3786">
        <w:rPr>
          <w:rFonts w:asciiTheme="minorHAnsi" w:hAnsiTheme="minorHAnsi" w:cstheme="minorHAnsi"/>
        </w:rPr>
        <w:t xml:space="preserve"> da se za </w:t>
      </w:r>
      <w:proofErr w:type="spellStart"/>
      <w:r w:rsidRPr="001D3786">
        <w:rPr>
          <w:rFonts w:asciiTheme="minorHAnsi" w:hAnsiTheme="minorHAnsi" w:cstheme="minorHAnsi"/>
        </w:rPr>
        <w:t>šemu</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pomoći</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trajanje</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odnosi</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na</w:t>
      </w:r>
      <w:proofErr w:type="spellEnd"/>
      <w:r w:rsidRPr="001D3786">
        <w:rPr>
          <w:rFonts w:asciiTheme="minorHAnsi" w:hAnsiTheme="minorHAnsi" w:cstheme="minorHAnsi"/>
        </w:rPr>
        <w:t xml:space="preserve"> period </w:t>
      </w:r>
      <w:proofErr w:type="spellStart"/>
      <w:r w:rsidRPr="001D3786">
        <w:rPr>
          <w:rFonts w:asciiTheme="minorHAnsi" w:hAnsiTheme="minorHAnsi" w:cstheme="minorHAnsi"/>
        </w:rPr>
        <w:t>tokom</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kojeg</w:t>
      </w:r>
      <w:proofErr w:type="spellEnd"/>
      <w:r w:rsidRPr="001D3786">
        <w:rPr>
          <w:rFonts w:asciiTheme="minorHAnsi" w:hAnsiTheme="minorHAnsi" w:cstheme="minorHAnsi"/>
        </w:rPr>
        <w:t xml:space="preserve"> se </w:t>
      </w:r>
      <w:proofErr w:type="spellStart"/>
      <w:r w:rsidRPr="001D3786">
        <w:rPr>
          <w:rFonts w:asciiTheme="minorHAnsi" w:hAnsiTheme="minorHAnsi" w:cstheme="minorHAnsi"/>
        </w:rPr>
        <w:t>može</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podnijeti</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zahtjev</w:t>
      </w:r>
      <w:proofErr w:type="spellEnd"/>
      <w:r w:rsidRPr="001D3786">
        <w:rPr>
          <w:rFonts w:asciiTheme="minorHAnsi" w:hAnsiTheme="minorHAnsi" w:cstheme="minorHAnsi"/>
        </w:rPr>
        <w:t xml:space="preserve"> za </w:t>
      </w:r>
      <w:proofErr w:type="spellStart"/>
      <w:r w:rsidRPr="001D3786">
        <w:rPr>
          <w:rFonts w:asciiTheme="minorHAnsi" w:hAnsiTheme="minorHAnsi" w:cstheme="minorHAnsi"/>
        </w:rPr>
        <w:t>pomoć</w:t>
      </w:r>
      <w:proofErr w:type="spellEnd"/>
      <w:r w:rsidRPr="004E6EC5">
        <w:rPr>
          <w:rFonts w:asciiTheme="minorHAnsi" w:hAnsiTheme="minorHAnsi" w:cstheme="minorHAnsi"/>
        </w:rPr>
        <w:t xml:space="preserve"> i u </w:t>
      </w:r>
      <w:proofErr w:type="spellStart"/>
      <w:r w:rsidRPr="004E6EC5">
        <w:rPr>
          <w:rFonts w:asciiTheme="minorHAnsi" w:hAnsiTheme="minorHAnsi" w:cstheme="minorHAnsi"/>
        </w:rPr>
        <w:t>kojem</w:t>
      </w:r>
      <w:proofErr w:type="spellEnd"/>
      <w:r w:rsidRPr="004E6EC5">
        <w:rPr>
          <w:rFonts w:asciiTheme="minorHAnsi" w:hAnsiTheme="minorHAnsi" w:cstheme="minorHAnsi"/>
        </w:rPr>
        <w:t xml:space="preserve"> se o </w:t>
      </w:r>
      <w:proofErr w:type="spellStart"/>
      <w:r w:rsidRPr="004E6EC5">
        <w:rPr>
          <w:rFonts w:asciiTheme="minorHAnsi" w:hAnsiTheme="minorHAnsi" w:cstheme="minorHAnsi"/>
        </w:rPr>
        <w:t>njemu</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odlučuje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uključujući</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vrijeme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koje</w:t>
      </w:r>
      <w:proofErr w:type="spellEnd"/>
      <w:r w:rsidRPr="004E6EC5">
        <w:rPr>
          <w:rFonts w:asciiTheme="minorHAnsi" w:hAnsiTheme="minorHAnsi" w:cstheme="minorHAnsi"/>
        </w:rPr>
        <w:t xml:space="preserve"> je </w:t>
      </w:r>
      <w:proofErr w:type="spellStart"/>
      <w:r w:rsidRPr="004E6EC5">
        <w:rPr>
          <w:rFonts w:asciiTheme="minorHAnsi" w:hAnsiTheme="minorHAnsi" w:cstheme="minorHAnsi"/>
        </w:rPr>
        <w:t>nacionalnim</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organima</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potrebno</w:t>
      </w:r>
      <w:proofErr w:type="spellEnd"/>
      <w:r w:rsidRPr="004E6EC5">
        <w:rPr>
          <w:rFonts w:asciiTheme="minorHAnsi" w:hAnsiTheme="minorHAnsi" w:cstheme="minorHAnsi"/>
        </w:rPr>
        <w:t xml:space="preserve"> za </w:t>
      </w:r>
      <w:proofErr w:type="spellStart"/>
      <w:r w:rsidRPr="004E6EC5">
        <w:rPr>
          <w:rFonts w:asciiTheme="minorHAnsi" w:hAnsiTheme="minorHAnsi" w:cstheme="minorHAnsi"/>
        </w:rPr>
        <w:t>odobravanje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zahtjeva</w:t>
      </w:r>
      <w:proofErr w:type="spellEnd"/>
      <w:r w:rsidRPr="004E6EC5">
        <w:rPr>
          <w:rFonts w:asciiTheme="minorHAnsi" w:hAnsiTheme="minorHAnsi" w:cstheme="minorHAnsi"/>
        </w:rPr>
        <w:t xml:space="preserve"> za </w:t>
      </w:r>
      <w:proofErr w:type="spellStart"/>
      <w:r w:rsidRPr="004E6EC5">
        <w:rPr>
          <w:rFonts w:asciiTheme="minorHAnsi" w:hAnsiTheme="minorHAnsi" w:cstheme="minorHAnsi"/>
        </w:rPr>
        <w:t>pomoć</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Trajanje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navedeno</w:t>
      </w:r>
      <w:proofErr w:type="spellEnd"/>
      <w:r w:rsidRPr="004E6EC5">
        <w:rPr>
          <w:rFonts w:asciiTheme="minorHAnsi" w:hAnsiTheme="minorHAnsi" w:cstheme="minorHAnsi"/>
        </w:rPr>
        <w:t xml:space="preserve"> u </w:t>
      </w:r>
      <w:proofErr w:type="spellStart"/>
      <w:r w:rsidRPr="004E6EC5">
        <w:rPr>
          <w:rFonts w:asciiTheme="minorHAnsi" w:hAnsiTheme="minorHAnsi" w:cstheme="minorHAnsi"/>
        </w:rPr>
        <w:t>ovom</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pitanju</w:t>
      </w:r>
      <w:proofErr w:type="spellEnd"/>
      <w:r w:rsidRPr="004E6EC5">
        <w:rPr>
          <w:rFonts w:asciiTheme="minorHAnsi" w:hAnsiTheme="minorHAnsi" w:cstheme="minorHAnsi"/>
        </w:rPr>
        <w:t xml:space="preserve"> ne </w:t>
      </w:r>
      <w:proofErr w:type="spellStart"/>
      <w:r w:rsidRPr="004E6EC5">
        <w:rPr>
          <w:rFonts w:asciiTheme="minorHAnsi" w:hAnsiTheme="minorHAnsi" w:cstheme="minorHAnsi"/>
        </w:rPr>
        <w:t>odnosi</w:t>
      </w:r>
      <w:proofErr w:type="spellEnd"/>
      <w:r w:rsidRPr="004E6EC5">
        <w:rPr>
          <w:rFonts w:asciiTheme="minorHAnsi" w:hAnsiTheme="minorHAnsi" w:cstheme="minorHAnsi"/>
        </w:rPr>
        <w:t xml:space="preserve"> se </w:t>
      </w:r>
      <w:proofErr w:type="spellStart"/>
      <w:r w:rsidRPr="004E6EC5">
        <w:rPr>
          <w:rFonts w:asciiTheme="minorHAnsi" w:hAnsiTheme="minorHAnsi" w:cstheme="minorHAnsi"/>
        </w:rPr>
        <w:t>na</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trajanje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ugovora</w:t>
      </w:r>
      <w:proofErr w:type="spellEnd"/>
      <w:r w:rsidRPr="004E6EC5">
        <w:rPr>
          <w:rFonts w:asciiTheme="minorHAnsi" w:hAnsiTheme="minorHAnsi" w:cstheme="minorHAnsi"/>
        </w:rPr>
        <w:t xml:space="preserve"> </w:t>
      </w:r>
      <w:proofErr w:type="spellStart"/>
      <w:r>
        <w:rPr>
          <w:rFonts w:asciiTheme="minorHAnsi" w:hAnsiTheme="minorHAnsi" w:cstheme="minorHAnsi"/>
        </w:rPr>
        <w:t>zaključenih</w:t>
      </w:r>
      <w:proofErr w:type="spellEnd"/>
      <w:r>
        <w:rPr>
          <w:rFonts w:asciiTheme="minorHAnsi" w:hAnsiTheme="minorHAnsi" w:cstheme="minorHAnsi"/>
        </w:rPr>
        <w:t xml:space="preserve"> </w:t>
      </w:r>
      <w:r w:rsidRPr="004E6EC5">
        <w:rPr>
          <w:rFonts w:asciiTheme="minorHAnsi" w:hAnsiTheme="minorHAnsi" w:cstheme="minorHAnsi"/>
        </w:rPr>
        <w:t xml:space="preserve">u </w:t>
      </w:r>
      <w:proofErr w:type="spellStart"/>
      <w:r w:rsidRPr="004E6EC5">
        <w:rPr>
          <w:rFonts w:asciiTheme="minorHAnsi" w:hAnsiTheme="minorHAnsi" w:cstheme="minorHAnsi"/>
        </w:rPr>
        <w:t>okviru</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šeme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pomoći</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koj</w:t>
      </w:r>
      <w:r>
        <w:rPr>
          <w:rFonts w:asciiTheme="minorHAnsi" w:hAnsiTheme="minorHAnsi" w:cstheme="minorHAnsi"/>
        </w:rPr>
        <w:t>a</w:t>
      </w:r>
      <w:proofErr w:type="spellEnd"/>
      <w:r w:rsidRPr="004E6EC5">
        <w:rPr>
          <w:rFonts w:asciiTheme="minorHAnsi" w:hAnsiTheme="minorHAnsi" w:cstheme="minorHAnsi"/>
        </w:rPr>
        <w:t xml:space="preserve"> se </w:t>
      </w:r>
      <w:proofErr w:type="spellStart"/>
      <w:r w:rsidRPr="004E6EC5">
        <w:rPr>
          <w:rFonts w:asciiTheme="minorHAnsi" w:hAnsiTheme="minorHAnsi" w:cstheme="minorHAnsi"/>
        </w:rPr>
        <w:t>može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nastaviti</w:t>
      </w:r>
      <w:proofErr w:type="spellEnd"/>
      <w:r w:rsidRPr="004E6EC5">
        <w:rPr>
          <w:rFonts w:asciiTheme="minorHAnsi" w:hAnsiTheme="minorHAnsi" w:cstheme="minorHAnsi"/>
        </w:rPr>
        <w:t xml:space="preserve"> i </w:t>
      </w:r>
      <w:proofErr w:type="spellStart"/>
      <w:r w:rsidRPr="004E6EC5">
        <w:rPr>
          <w:rFonts w:asciiTheme="minorHAnsi" w:hAnsiTheme="minorHAnsi" w:cstheme="minorHAnsi"/>
        </w:rPr>
        <w:t>nakon</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isteka</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mjere</w:t>
      </w:r>
      <w:proofErr w:type="spellEnd"/>
      <w:r w:rsidRPr="004E6EC5">
        <w:rPr>
          <w:rFonts w:asciiTheme="minorHAnsi" w:hAnsiTheme="minorHAnsi" w:cstheme="minorHAnsi"/>
        </w:rPr>
        <w:t>.</w:t>
      </w:r>
    </w:p>
  </w:footnote>
  <w:footnote w:id="2">
    <w:p w14:paraId="0F08C45C" w14:textId="77777777" w:rsidR="00C9629B" w:rsidRPr="009960B4" w:rsidRDefault="00C9629B" w:rsidP="00C9629B">
      <w:pPr>
        <w:pStyle w:val="FootnoteText"/>
        <w:spacing w:before="0"/>
        <w:ind w:left="0" w:firstLine="0"/>
        <w:rPr>
          <w:rFonts w:asciiTheme="minorHAnsi" w:hAnsiTheme="minorHAnsi" w:cstheme="minorHAnsi"/>
        </w:rPr>
      </w:pPr>
      <w:r w:rsidRPr="009960B4">
        <w:rPr>
          <w:rStyle w:val="FootnoteReference"/>
          <w:rFonts w:asciiTheme="minorHAnsi" w:hAnsiTheme="minorHAnsi" w:cstheme="minorHAnsi"/>
        </w:rPr>
        <w:footnoteRef/>
      </w:r>
      <w:r>
        <w:rPr>
          <w:rFonts w:asciiTheme="minorHAnsi" w:hAnsiTheme="minorHAnsi" w:cstheme="minorHAnsi"/>
        </w:rPr>
        <w:t xml:space="preserve"> </w:t>
      </w:r>
      <w:proofErr w:type="spellStart"/>
      <w:r w:rsidRPr="009960B4">
        <w:rPr>
          <w:rFonts w:asciiTheme="minorHAnsi" w:hAnsiTheme="minorHAnsi" w:cstheme="minorHAnsi"/>
        </w:rPr>
        <w:t>Napominjemo</w:t>
      </w:r>
      <w:proofErr w:type="spellEnd"/>
      <w:r w:rsidRPr="009960B4">
        <w:rPr>
          <w:rFonts w:asciiTheme="minorHAnsi" w:hAnsiTheme="minorHAnsi" w:cstheme="minorHAnsi"/>
        </w:rPr>
        <w:t xml:space="preserve"> da </w:t>
      </w:r>
      <w:proofErr w:type="spellStart"/>
      <w:r w:rsidRPr="009960B4">
        <w:rPr>
          <w:rFonts w:asciiTheme="minorHAnsi" w:hAnsiTheme="minorHAnsi" w:cstheme="minorHAnsi"/>
        </w:rPr>
        <w:t>promjena</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stvarnog</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ili</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procijenjenog</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budžeta</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može</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predstavljati</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izmjenu</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pomoći</w:t>
      </w:r>
      <w:proofErr w:type="spellEnd"/>
      <w:r w:rsidRPr="009960B4">
        <w:rPr>
          <w:rFonts w:asciiTheme="minorHAnsi" w:hAnsiTheme="minorHAnsi" w:cstheme="minorHAnsi"/>
        </w:rPr>
        <w:t xml:space="preserve"> za </w:t>
      </w:r>
      <w:proofErr w:type="spellStart"/>
      <w:r w:rsidRPr="009960B4">
        <w:rPr>
          <w:rFonts w:asciiTheme="minorHAnsi" w:hAnsiTheme="minorHAnsi" w:cstheme="minorHAnsi"/>
        </w:rPr>
        <w:t>koju</w:t>
      </w:r>
      <w:proofErr w:type="spellEnd"/>
      <w:r w:rsidRPr="009960B4">
        <w:rPr>
          <w:rFonts w:asciiTheme="minorHAnsi" w:hAnsiTheme="minorHAnsi" w:cstheme="minorHAnsi"/>
        </w:rPr>
        <w:t xml:space="preserve"> je </w:t>
      </w:r>
      <w:proofErr w:type="spellStart"/>
      <w:r w:rsidRPr="009960B4">
        <w:rPr>
          <w:rFonts w:asciiTheme="minorHAnsi" w:hAnsiTheme="minorHAnsi" w:cstheme="minorHAnsi"/>
        </w:rPr>
        <w:t>potrebno</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podnijeti</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novu</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prijavu</w:t>
      </w:r>
      <w:proofErr w:type="spellEnd"/>
      <w:r w:rsidRPr="009960B4">
        <w:rPr>
          <w:rFonts w:asciiTheme="minorHAnsi" w:hAnsiTheme="minorHAnsi" w:cstheme="minorHAnsi"/>
        </w:rPr>
        <w:t>.</w:t>
      </w:r>
    </w:p>
  </w:footnote>
  <w:footnote w:id="3">
    <w:p w14:paraId="5E61C3DA" w14:textId="77777777" w:rsidR="00C9629B" w:rsidRPr="007C28FF" w:rsidRDefault="00C9629B" w:rsidP="00C9629B">
      <w:pPr>
        <w:pStyle w:val="FootnoteText"/>
        <w:spacing w:before="0"/>
        <w:ind w:left="0" w:firstLine="0"/>
        <w:rPr>
          <w:rFonts w:asciiTheme="minorHAnsi" w:hAnsiTheme="minorHAnsi" w:cstheme="minorHAnsi"/>
        </w:rPr>
      </w:pPr>
      <w:r w:rsidRPr="007C28FF">
        <w:rPr>
          <w:rStyle w:val="FootnoteReference"/>
          <w:rFonts w:asciiTheme="minorHAnsi" w:hAnsiTheme="minorHAnsi" w:cstheme="minorHAnsi"/>
        </w:rPr>
        <w:footnoteRef/>
      </w:r>
      <w:r>
        <w:rPr>
          <w:rFonts w:asciiTheme="minorHAnsi" w:hAnsiTheme="minorHAnsi" w:cstheme="minorHAnsi"/>
        </w:rPr>
        <w:t xml:space="preserve"> </w:t>
      </w:r>
      <w:proofErr w:type="spellStart"/>
      <w:r w:rsidRPr="007C28FF">
        <w:rPr>
          <w:rFonts w:asciiTheme="minorHAnsi" w:hAnsiTheme="minorHAnsi" w:cstheme="minorHAnsi"/>
        </w:rPr>
        <w:t>Dozvole</w:t>
      </w:r>
      <w:proofErr w:type="spellEnd"/>
      <w:r w:rsidRPr="007C28FF">
        <w:rPr>
          <w:rFonts w:asciiTheme="minorHAnsi" w:hAnsiTheme="minorHAnsi" w:cstheme="minorHAnsi"/>
        </w:rPr>
        <w:t xml:space="preserve"> za </w:t>
      </w:r>
      <w:proofErr w:type="spellStart"/>
      <w:r w:rsidRPr="007C28FF">
        <w:rPr>
          <w:rFonts w:asciiTheme="minorHAnsi" w:hAnsiTheme="minorHAnsi" w:cstheme="minorHAnsi"/>
        </w:rPr>
        <w:t>emisije</w:t>
      </w:r>
      <w:proofErr w:type="spellEnd"/>
      <w:r w:rsidRPr="007C28FF">
        <w:rPr>
          <w:rFonts w:asciiTheme="minorHAnsi" w:hAnsiTheme="minorHAnsi" w:cstheme="minorHAnsi"/>
        </w:rPr>
        <w:t xml:space="preserve"> </w:t>
      </w:r>
      <w:proofErr w:type="spellStart"/>
      <w:r w:rsidRPr="007C28FF">
        <w:rPr>
          <w:rFonts w:asciiTheme="minorHAnsi" w:hAnsiTheme="minorHAnsi" w:cstheme="minorHAnsi"/>
        </w:rPr>
        <w:t>gasova</w:t>
      </w:r>
      <w:proofErr w:type="spellEnd"/>
      <w:r w:rsidRPr="007C28FF">
        <w:rPr>
          <w:rFonts w:asciiTheme="minorHAnsi" w:hAnsiTheme="minorHAnsi" w:cstheme="minorHAnsi"/>
        </w:rPr>
        <w:t xml:space="preserve"> </w:t>
      </w:r>
      <w:proofErr w:type="spellStart"/>
      <w:r w:rsidRPr="007C28FF">
        <w:rPr>
          <w:rFonts w:asciiTheme="minorHAnsi" w:hAnsiTheme="minorHAnsi" w:cstheme="minorHAnsi"/>
        </w:rPr>
        <w:t>sa</w:t>
      </w:r>
      <w:proofErr w:type="spellEnd"/>
      <w:r w:rsidRPr="007C28FF">
        <w:rPr>
          <w:rFonts w:asciiTheme="minorHAnsi" w:hAnsiTheme="minorHAnsi" w:cstheme="minorHAnsi"/>
        </w:rPr>
        <w:t xml:space="preserve"> </w:t>
      </w:r>
      <w:proofErr w:type="spellStart"/>
      <w:r w:rsidRPr="007C28FF">
        <w:rPr>
          <w:rFonts w:asciiTheme="minorHAnsi" w:hAnsiTheme="minorHAnsi" w:cstheme="minorHAnsi"/>
        </w:rPr>
        <w:t>efektom</w:t>
      </w:r>
      <w:proofErr w:type="spellEnd"/>
      <w:r w:rsidRPr="007C28FF">
        <w:rPr>
          <w:rFonts w:asciiTheme="minorHAnsi" w:hAnsiTheme="minorHAnsi" w:cstheme="minorHAnsi"/>
        </w:rPr>
        <w:t xml:space="preserve"> </w:t>
      </w:r>
      <w:proofErr w:type="spellStart"/>
      <w:r w:rsidRPr="007C28FF">
        <w:rPr>
          <w:rFonts w:asciiTheme="minorHAnsi" w:hAnsiTheme="minorHAnsi" w:cstheme="minorHAnsi"/>
        </w:rPr>
        <w:t>staklene</w:t>
      </w:r>
      <w:proofErr w:type="spellEnd"/>
      <w:r w:rsidRPr="007C28FF">
        <w:rPr>
          <w:rFonts w:asciiTheme="minorHAnsi" w:hAnsiTheme="minorHAnsi" w:cstheme="minorHAnsi"/>
        </w:rPr>
        <w:t xml:space="preserve"> </w:t>
      </w:r>
      <w:proofErr w:type="spellStart"/>
      <w:r w:rsidRPr="007C28FF">
        <w:rPr>
          <w:rFonts w:asciiTheme="minorHAnsi" w:hAnsiTheme="minorHAnsi" w:cstheme="minorHAnsi"/>
        </w:rPr>
        <w:t>bašte</w:t>
      </w:r>
      <w:proofErr w:type="spellEnd"/>
      <w:r w:rsidRPr="007C28FF">
        <w:rPr>
          <w:rFonts w:asciiTheme="minorHAnsi" w:hAnsiTheme="minorHAnsi" w:cstheme="minorHAnsi"/>
        </w:rPr>
        <w:t xml:space="preserve"> </w:t>
      </w:r>
      <w:proofErr w:type="spellStart"/>
      <w:r w:rsidRPr="007C28FF">
        <w:rPr>
          <w:rFonts w:asciiTheme="minorHAnsi" w:hAnsiTheme="minorHAnsi" w:cstheme="minorHAnsi"/>
        </w:rPr>
        <w:t>mogu</w:t>
      </w:r>
      <w:proofErr w:type="spellEnd"/>
      <w:r w:rsidRPr="007C28FF">
        <w:rPr>
          <w:rFonts w:asciiTheme="minorHAnsi" w:hAnsiTheme="minorHAnsi" w:cstheme="minorHAnsi"/>
        </w:rPr>
        <w:t xml:space="preserve"> </w:t>
      </w:r>
      <w:proofErr w:type="spellStart"/>
      <w:r w:rsidRPr="007C28FF">
        <w:rPr>
          <w:rFonts w:asciiTheme="minorHAnsi" w:hAnsiTheme="minorHAnsi" w:cstheme="minorHAnsi"/>
        </w:rPr>
        <w:t>uključivati</w:t>
      </w:r>
      <w:proofErr w:type="spellEnd"/>
      <w:r w:rsidRPr="007C28FF">
        <w:rPr>
          <w:rFonts w:asciiTheme="minorHAnsi" w:hAnsiTheme="minorHAnsi" w:cstheme="minorHAnsi"/>
        </w:rPr>
        <w:t xml:space="preserve"> </w:t>
      </w:r>
      <w:proofErr w:type="spellStart"/>
      <w:r w:rsidRPr="007C28FF">
        <w:rPr>
          <w:rFonts w:asciiTheme="minorHAnsi" w:hAnsiTheme="minorHAnsi" w:cstheme="minorHAnsi"/>
        </w:rPr>
        <w:t>državnu</w:t>
      </w:r>
      <w:proofErr w:type="spellEnd"/>
      <w:r w:rsidRPr="007C28FF">
        <w:rPr>
          <w:rFonts w:asciiTheme="minorHAnsi" w:hAnsiTheme="minorHAnsi" w:cstheme="minorHAnsi"/>
        </w:rPr>
        <w:t xml:space="preserve"> </w:t>
      </w:r>
      <w:proofErr w:type="spellStart"/>
      <w:r w:rsidRPr="007C28FF">
        <w:rPr>
          <w:rFonts w:asciiTheme="minorHAnsi" w:hAnsiTheme="minorHAnsi" w:cstheme="minorHAnsi"/>
        </w:rPr>
        <w:t>pomoć</w:t>
      </w:r>
      <w:proofErr w:type="spellEnd"/>
      <w:r w:rsidRPr="007C28FF">
        <w:rPr>
          <w:rFonts w:asciiTheme="minorHAnsi" w:hAnsiTheme="minorHAnsi" w:cstheme="minorHAnsi"/>
        </w:rPr>
        <w:t xml:space="preserve">, </w:t>
      </w:r>
      <w:proofErr w:type="spellStart"/>
      <w:r w:rsidRPr="007C28FF">
        <w:rPr>
          <w:rFonts w:asciiTheme="minorHAnsi" w:hAnsiTheme="minorHAnsi" w:cstheme="minorHAnsi"/>
        </w:rPr>
        <w:t>posebno</w:t>
      </w:r>
      <w:proofErr w:type="spellEnd"/>
      <w:r w:rsidRPr="007C28FF">
        <w:rPr>
          <w:rFonts w:asciiTheme="minorHAnsi" w:hAnsiTheme="minorHAnsi" w:cstheme="minorHAnsi"/>
        </w:rPr>
        <w:t xml:space="preserve"> </w:t>
      </w:r>
      <w:proofErr w:type="spellStart"/>
      <w:r w:rsidRPr="007C28FF">
        <w:rPr>
          <w:rFonts w:asciiTheme="minorHAnsi" w:hAnsiTheme="minorHAnsi" w:cstheme="minorHAnsi"/>
        </w:rPr>
        <w:t>ako</w:t>
      </w:r>
      <w:proofErr w:type="spellEnd"/>
      <w:r w:rsidRPr="007C28FF">
        <w:rPr>
          <w:rFonts w:asciiTheme="minorHAnsi" w:hAnsiTheme="minorHAnsi" w:cstheme="minorHAnsi"/>
        </w:rPr>
        <w:t xml:space="preserve"> </w:t>
      </w:r>
      <w:proofErr w:type="spellStart"/>
      <w:r w:rsidRPr="007C28FF">
        <w:rPr>
          <w:rFonts w:asciiTheme="minorHAnsi" w:hAnsiTheme="minorHAnsi" w:cstheme="minorHAnsi"/>
        </w:rPr>
        <w:t>države</w:t>
      </w:r>
      <w:proofErr w:type="spellEnd"/>
      <w:r w:rsidRPr="007C28FF">
        <w:rPr>
          <w:rFonts w:asciiTheme="minorHAnsi" w:hAnsiTheme="minorHAnsi" w:cstheme="minorHAnsi"/>
        </w:rPr>
        <w:t xml:space="preserve"> </w:t>
      </w:r>
      <w:proofErr w:type="spellStart"/>
      <w:r w:rsidRPr="007C28FF">
        <w:rPr>
          <w:rFonts w:asciiTheme="minorHAnsi" w:hAnsiTheme="minorHAnsi" w:cstheme="minorHAnsi"/>
        </w:rPr>
        <w:t>članice</w:t>
      </w:r>
      <w:proofErr w:type="spellEnd"/>
      <w:r w:rsidRPr="007C28FF">
        <w:rPr>
          <w:rFonts w:asciiTheme="minorHAnsi" w:hAnsiTheme="minorHAnsi" w:cstheme="minorHAnsi"/>
        </w:rPr>
        <w:t xml:space="preserve"> </w:t>
      </w:r>
      <w:proofErr w:type="spellStart"/>
      <w:r w:rsidRPr="007C28FF">
        <w:rPr>
          <w:rFonts w:asciiTheme="minorHAnsi" w:hAnsiTheme="minorHAnsi" w:cstheme="minorHAnsi"/>
        </w:rPr>
        <w:t>odobravaju</w:t>
      </w:r>
      <w:proofErr w:type="spellEnd"/>
      <w:r w:rsidRPr="007C28FF">
        <w:rPr>
          <w:rFonts w:asciiTheme="minorHAnsi" w:hAnsiTheme="minorHAnsi" w:cstheme="minorHAnsi"/>
        </w:rPr>
        <w:t xml:space="preserve"> </w:t>
      </w:r>
      <w:proofErr w:type="spellStart"/>
      <w:r w:rsidRPr="007C28FF">
        <w:rPr>
          <w:rFonts w:asciiTheme="minorHAnsi" w:hAnsiTheme="minorHAnsi" w:cstheme="minorHAnsi"/>
        </w:rPr>
        <w:t>dozvole</w:t>
      </w:r>
      <w:proofErr w:type="spellEnd"/>
      <w:r w:rsidRPr="007C28FF">
        <w:rPr>
          <w:rFonts w:asciiTheme="minorHAnsi" w:hAnsiTheme="minorHAnsi" w:cstheme="minorHAnsi"/>
        </w:rPr>
        <w:t xml:space="preserve"> i </w:t>
      </w:r>
      <w:proofErr w:type="spellStart"/>
      <w:r w:rsidRPr="007C28FF">
        <w:rPr>
          <w:rFonts w:asciiTheme="minorHAnsi" w:hAnsiTheme="minorHAnsi" w:cstheme="minorHAnsi"/>
        </w:rPr>
        <w:t>kvote</w:t>
      </w:r>
      <w:proofErr w:type="spellEnd"/>
      <w:r w:rsidRPr="007C28FF">
        <w:rPr>
          <w:rFonts w:asciiTheme="minorHAnsi" w:hAnsiTheme="minorHAnsi" w:cstheme="minorHAnsi"/>
        </w:rPr>
        <w:t xml:space="preserve"> </w:t>
      </w:r>
      <w:proofErr w:type="spellStart"/>
      <w:r w:rsidRPr="007C28FF">
        <w:rPr>
          <w:rFonts w:asciiTheme="minorHAnsi" w:hAnsiTheme="minorHAnsi" w:cstheme="minorHAnsi"/>
        </w:rPr>
        <w:t>ispod</w:t>
      </w:r>
      <w:proofErr w:type="spellEnd"/>
      <w:r w:rsidRPr="007C28FF">
        <w:rPr>
          <w:rFonts w:asciiTheme="minorHAnsi" w:hAnsiTheme="minorHAnsi" w:cstheme="minorHAnsi"/>
        </w:rPr>
        <w:t xml:space="preserve"> </w:t>
      </w:r>
      <w:proofErr w:type="spellStart"/>
      <w:r w:rsidRPr="007C28FF">
        <w:rPr>
          <w:rFonts w:asciiTheme="minorHAnsi" w:hAnsiTheme="minorHAnsi" w:cstheme="minorHAnsi"/>
        </w:rPr>
        <w:t>njihove</w:t>
      </w:r>
      <w:proofErr w:type="spellEnd"/>
      <w:r w:rsidRPr="007C28FF">
        <w:rPr>
          <w:rFonts w:asciiTheme="minorHAnsi" w:hAnsiTheme="minorHAnsi" w:cstheme="minorHAnsi"/>
        </w:rPr>
        <w:t xml:space="preserve"> </w:t>
      </w:r>
      <w:proofErr w:type="spellStart"/>
      <w:r w:rsidRPr="007C28FF">
        <w:rPr>
          <w:rFonts w:asciiTheme="minorHAnsi" w:hAnsiTheme="minorHAnsi" w:cstheme="minorHAnsi"/>
        </w:rPr>
        <w:t>tržišne</w:t>
      </w:r>
      <w:proofErr w:type="spellEnd"/>
      <w:r w:rsidRPr="007C28FF">
        <w:rPr>
          <w:rFonts w:asciiTheme="minorHAnsi" w:hAnsiTheme="minorHAnsi" w:cstheme="minorHAnsi"/>
        </w:rPr>
        <w:t xml:space="preserve"> </w:t>
      </w:r>
      <w:proofErr w:type="spellStart"/>
      <w:r w:rsidRPr="007C28FF">
        <w:rPr>
          <w:rFonts w:asciiTheme="minorHAnsi" w:hAnsiTheme="minorHAnsi" w:cstheme="minorHAnsi"/>
        </w:rPr>
        <w:t>vrijednosti</w:t>
      </w:r>
      <w:proofErr w:type="spellEnd"/>
      <w:r w:rsidRPr="007C28FF">
        <w:rPr>
          <w:rFonts w:asciiTheme="minorHAnsi" w:hAnsiTheme="minorHAnsi" w:cstheme="minorHAnsi"/>
        </w:rPr>
        <w:t>.</w:t>
      </w:r>
    </w:p>
  </w:footnote>
  <w:footnote w:id="4">
    <w:p w14:paraId="67A37881" w14:textId="77777777" w:rsidR="00C9629B" w:rsidRPr="005C447E" w:rsidRDefault="00C9629B" w:rsidP="00C9629B">
      <w:pPr>
        <w:pStyle w:val="FootnoteText"/>
        <w:spacing w:before="0"/>
        <w:ind w:left="0" w:firstLine="0"/>
        <w:contextualSpacing/>
        <w:rPr>
          <w:rFonts w:asciiTheme="minorHAnsi" w:hAnsiTheme="minorHAnsi" w:cstheme="minorHAnsi"/>
        </w:rPr>
      </w:pPr>
      <w:r w:rsidRPr="005C447E">
        <w:rPr>
          <w:rStyle w:val="FootnoteReference"/>
          <w:rFonts w:asciiTheme="minorHAnsi" w:hAnsiTheme="minorHAnsi" w:cstheme="minorHAnsi"/>
        </w:rPr>
        <w:footnoteRef/>
      </w:r>
      <w:r>
        <w:rPr>
          <w:rFonts w:asciiTheme="minorHAnsi" w:hAnsiTheme="minorHAnsi" w:cstheme="minorHAnsi"/>
        </w:rPr>
        <w:t xml:space="preserve"> </w:t>
      </w:r>
      <w:proofErr w:type="spellStart"/>
      <w:r>
        <w:rPr>
          <w:rFonts w:asciiTheme="minorHAnsi" w:hAnsiTheme="minorHAnsi" w:cstheme="minorHAnsi"/>
        </w:rPr>
        <w:t>Napominjemo</w:t>
      </w:r>
      <w:proofErr w:type="spellEnd"/>
      <w:r>
        <w:rPr>
          <w:rFonts w:asciiTheme="minorHAnsi" w:hAnsiTheme="minorHAnsi" w:cstheme="minorHAnsi"/>
        </w:rPr>
        <w:t xml:space="preserve"> da </w:t>
      </w:r>
      <w:proofErr w:type="spellStart"/>
      <w:r>
        <w:rPr>
          <w:rFonts w:asciiTheme="minorHAnsi" w:hAnsiTheme="minorHAnsi" w:cstheme="minorHAnsi"/>
        </w:rPr>
        <w:t>tačke</w:t>
      </w:r>
      <w:proofErr w:type="spellEnd"/>
      <w:r>
        <w:rPr>
          <w:rFonts w:asciiTheme="minorHAnsi" w:hAnsiTheme="minorHAnsi" w:cstheme="minorHAnsi"/>
        </w:rPr>
        <w:t xml:space="preserve"> 38, 52, 165, 166 i 167 </w:t>
      </w:r>
      <w:proofErr w:type="spellStart"/>
      <w:r>
        <w:rPr>
          <w:rFonts w:asciiTheme="minorHAnsi" w:hAnsiTheme="minorHAnsi" w:cstheme="minorHAnsi"/>
        </w:rPr>
        <w:t>kao</w:t>
      </w:r>
      <w:proofErr w:type="spellEnd"/>
      <w:r>
        <w:rPr>
          <w:rFonts w:asciiTheme="minorHAnsi" w:hAnsiTheme="minorHAnsi" w:cstheme="minorHAnsi"/>
        </w:rPr>
        <w:t xml:space="preserve"> i </w:t>
      </w:r>
      <w:proofErr w:type="spellStart"/>
      <w:r>
        <w:rPr>
          <w:rFonts w:asciiTheme="minorHAnsi" w:hAnsiTheme="minorHAnsi" w:cstheme="minorHAnsi"/>
        </w:rPr>
        <w:t>fusnote</w:t>
      </w:r>
      <w:proofErr w:type="spellEnd"/>
      <w:r>
        <w:rPr>
          <w:rFonts w:asciiTheme="minorHAnsi" w:hAnsiTheme="minorHAnsi" w:cstheme="minorHAnsi"/>
        </w:rPr>
        <w:t xml:space="preserve"> 39 i 45 CEEAG-a </w:t>
      </w:r>
      <w:proofErr w:type="spellStart"/>
      <w:r>
        <w:rPr>
          <w:rFonts w:asciiTheme="minorHAnsi" w:hAnsiTheme="minorHAnsi" w:cstheme="minorHAnsi"/>
        </w:rPr>
        <w:t>sadrže</w:t>
      </w:r>
      <w:proofErr w:type="spellEnd"/>
      <w:r w:rsidRPr="005C447E">
        <w:rPr>
          <w:rFonts w:asciiTheme="minorHAnsi" w:hAnsiTheme="minorHAnsi" w:cstheme="minorHAnsi"/>
        </w:rPr>
        <w:t xml:space="preserve"> </w:t>
      </w:r>
      <w:proofErr w:type="spellStart"/>
      <w:r w:rsidRPr="005C447E">
        <w:rPr>
          <w:rFonts w:asciiTheme="minorHAnsi" w:hAnsiTheme="minorHAnsi" w:cstheme="minorHAnsi"/>
        </w:rPr>
        <w:t>dodatne</w:t>
      </w:r>
      <w:proofErr w:type="spellEnd"/>
      <w:r>
        <w:rPr>
          <w:rFonts w:asciiTheme="minorHAnsi" w:hAnsiTheme="minorHAnsi" w:cstheme="minorHAnsi"/>
        </w:rPr>
        <w:t xml:space="preserve"> </w:t>
      </w:r>
      <w:proofErr w:type="spellStart"/>
      <w:r>
        <w:rPr>
          <w:rFonts w:asciiTheme="minorHAnsi" w:hAnsiTheme="minorHAnsi" w:cstheme="minorHAnsi"/>
        </w:rPr>
        <w:t>smjernice</w:t>
      </w:r>
      <w:proofErr w:type="spellEnd"/>
      <w:r>
        <w:rPr>
          <w:rFonts w:asciiTheme="minorHAnsi" w:hAnsiTheme="minorHAnsi" w:cstheme="minorHAnsi"/>
        </w:rPr>
        <w:t xml:space="preserve"> za </w:t>
      </w:r>
      <w:proofErr w:type="spellStart"/>
      <w:r>
        <w:rPr>
          <w:rFonts w:asciiTheme="minorHAnsi" w:hAnsiTheme="minorHAnsi" w:cstheme="minorHAnsi"/>
        </w:rPr>
        <w:t>utvrđivanje</w:t>
      </w:r>
      <w:proofErr w:type="spellEnd"/>
      <w:r>
        <w:rPr>
          <w:rFonts w:asciiTheme="minorHAnsi" w:hAnsiTheme="minorHAnsi" w:cstheme="minorHAnsi"/>
        </w:rPr>
        <w:t xml:space="preserve"> </w:t>
      </w:r>
      <w:proofErr w:type="spellStart"/>
      <w:r>
        <w:rPr>
          <w:rFonts w:asciiTheme="minorHAnsi" w:hAnsiTheme="minorHAnsi" w:cstheme="minorHAnsi"/>
        </w:rPr>
        <w:t>vjerov</w:t>
      </w:r>
      <w:r w:rsidRPr="005C447E">
        <w:rPr>
          <w:rFonts w:asciiTheme="minorHAnsi" w:hAnsiTheme="minorHAnsi" w:cstheme="minorHAnsi"/>
        </w:rPr>
        <w:t>atnog</w:t>
      </w:r>
      <w:proofErr w:type="spellEnd"/>
      <w:r w:rsidRPr="005C447E">
        <w:rPr>
          <w:rFonts w:asciiTheme="minorHAnsi" w:hAnsiTheme="minorHAnsi" w:cstheme="minorHAnsi"/>
        </w:rPr>
        <w:t xml:space="preserve"> </w:t>
      </w:r>
      <w:proofErr w:type="spellStart"/>
      <w:r>
        <w:rPr>
          <w:rFonts w:asciiTheme="minorHAnsi" w:hAnsiTheme="minorHAnsi" w:cstheme="minorHAnsi"/>
        </w:rPr>
        <w:t>uporednog</w:t>
      </w:r>
      <w:proofErr w:type="spellEnd"/>
      <w:r w:rsidRPr="005C447E">
        <w:rPr>
          <w:rFonts w:asciiTheme="minorHAnsi" w:hAnsiTheme="minorHAnsi" w:cstheme="minorHAnsi"/>
        </w:rPr>
        <w:t xml:space="preserve"> </w:t>
      </w:r>
      <w:proofErr w:type="spellStart"/>
      <w:r w:rsidRPr="005C447E">
        <w:rPr>
          <w:rFonts w:asciiTheme="minorHAnsi" w:hAnsiTheme="minorHAnsi" w:cstheme="minorHAnsi"/>
        </w:rPr>
        <w:t>scenarija</w:t>
      </w:r>
      <w:proofErr w:type="spellEnd"/>
      <w:r w:rsidRPr="005C447E">
        <w:rPr>
          <w:rFonts w:asciiTheme="minorHAnsi" w:hAnsiTheme="minorHAnsi" w:cstheme="minorHAnsi"/>
        </w:rPr>
        <w:t>.</w:t>
      </w:r>
    </w:p>
  </w:footnote>
  <w:footnote w:id="5">
    <w:p w14:paraId="0552E5CD" w14:textId="77777777" w:rsidR="00C9629B" w:rsidRPr="003832DA" w:rsidRDefault="00C9629B" w:rsidP="00C9629B">
      <w:pPr>
        <w:pStyle w:val="FootnoteText"/>
        <w:spacing w:before="0"/>
        <w:ind w:left="0" w:firstLine="0"/>
        <w:contextualSpacing/>
        <w:rPr>
          <w:rFonts w:asciiTheme="minorHAnsi" w:hAnsiTheme="minorHAnsi" w:cstheme="minorHAnsi"/>
          <w:lang w:val="sr-Latn-RS"/>
        </w:rPr>
      </w:pPr>
      <w:r w:rsidRPr="003832DA">
        <w:rPr>
          <w:rStyle w:val="FootnoteReference"/>
          <w:rFonts w:asciiTheme="minorHAnsi" w:hAnsiTheme="minorHAnsi" w:cstheme="minorHAnsi"/>
        </w:rPr>
        <w:footnoteRef/>
      </w:r>
      <w:r w:rsidRPr="003832DA">
        <w:rPr>
          <w:rFonts w:asciiTheme="minorHAnsi" w:hAnsiTheme="minorHAnsi" w:cstheme="minorHAnsi"/>
        </w:rPr>
        <w:t xml:space="preserve"> </w:t>
      </w:r>
      <w:r w:rsidRPr="003832DA">
        <w:rPr>
          <w:rFonts w:asciiTheme="minorHAnsi" w:hAnsiTheme="minorHAnsi" w:cstheme="minorHAnsi"/>
        </w:rPr>
        <w:t>„</w:t>
      </w:r>
      <w:proofErr w:type="spellStart"/>
      <w:r w:rsidRPr="003832DA">
        <w:rPr>
          <w:rFonts w:asciiTheme="minorHAnsi" w:hAnsiTheme="minorHAnsi" w:cstheme="minorHAnsi"/>
        </w:rPr>
        <w:t>Referentni</w:t>
      </w:r>
      <w:proofErr w:type="spellEnd"/>
      <w:r w:rsidRPr="003832DA">
        <w:rPr>
          <w:rFonts w:asciiTheme="minorHAnsi" w:hAnsiTheme="minorHAnsi" w:cstheme="minorHAnsi"/>
        </w:rPr>
        <w:t xml:space="preserve"> </w:t>
      </w:r>
      <w:proofErr w:type="spellStart"/>
      <w:r w:rsidRPr="003832DA">
        <w:rPr>
          <w:rFonts w:asciiTheme="minorHAnsi" w:hAnsiTheme="minorHAnsi" w:cstheme="minorHAnsi"/>
        </w:rPr>
        <w:t>projekat</w:t>
      </w:r>
      <w:proofErr w:type="spellEnd"/>
      <w:r w:rsidRPr="003832DA">
        <w:rPr>
          <w:rFonts w:asciiTheme="minorHAnsi" w:hAnsiTheme="minorHAnsi" w:cstheme="minorHAnsi"/>
        </w:rPr>
        <w:t xml:space="preserve">” </w:t>
      </w:r>
      <w:proofErr w:type="spellStart"/>
      <w:r w:rsidRPr="003832DA">
        <w:rPr>
          <w:rFonts w:asciiTheme="minorHAnsi" w:hAnsiTheme="minorHAnsi" w:cstheme="minorHAnsi"/>
        </w:rPr>
        <w:t>defini</w:t>
      </w:r>
      <w:r>
        <w:rPr>
          <w:rFonts w:asciiTheme="minorHAnsi" w:hAnsiTheme="minorHAnsi" w:cstheme="minorHAnsi"/>
        </w:rPr>
        <w:t>s</w:t>
      </w:r>
      <w:r w:rsidRPr="003832DA">
        <w:rPr>
          <w:rFonts w:asciiTheme="minorHAnsi" w:hAnsiTheme="minorHAnsi" w:cstheme="minorHAnsi"/>
        </w:rPr>
        <w:t>an</w:t>
      </w:r>
      <w:proofErr w:type="spellEnd"/>
      <w:r w:rsidRPr="003832DA">
        <w:rPr>
          <w:rFonts w:asciiTheme="minorHAnsi" w:hAnsiTheme="minorHAnsi" w:cstheme="minorHAnsi"/>
        </w:rPr>
        <w:t xml:space="preserve"> je u </w:t>
      </w:r>
      <w:proofErr w:type="spellStart"/>
      <w:r w:rsidRPr="003832DA">
        <w:rPr>
          <w:rFonts w:asciiTheme="minorHAnsi" w:hAnsiTheme="minorHAnsi" w:cstheme="minorHAnsi"/>
        </w:rPr>
        <w:t>tački</w:t>
      </w:r>
      <w:proofErr w:type="spellEnd"/>
      <w:r w:rsidRPr="003832DA">
        <w:rPr>
          <w:rFonts w:asciiTheme="minorHAnsi" w:hAnsiTheme="minorHAnsi" w:cstheme="minorHAnsi"/>
        </w:rPr>
        <w:t xml:space="preserve"> 19 </w:t>
      </w:r>
      <w:proofErr w:type="spellStart"/>
      <w:r w:rsidRPr="003832DA">
        <w:rPr>
          <w:rFonts w:asciiTheme="minorHAnsi" w:hAnsiTheme="minorHAnsi" w:cstheme="minorHAnsi"/>
        </w:rPr>
        <w:t>podtačk</w:t>
      </w:r>
      <w:r>
        <w:rPr>
          <w:rFonts w:asciiTheme="minorHAnsi" w:hAnsiTheme="minorHAnsi" w:cstheme="minorHAnsi"/>
        </w:rPr>
        <w:t>a</w:t>
      </w:r>
      <w:proofErr w:type="spellEnd"/>
      <w:r>
        <w:rPr>
          <w:rFonts w:asciiTheme="minorHAnsi" w:hAnsiTheme="minorHAnsi" w:cstheme="minorHAnsi"/>
        </w:rPr>
        <w:t xml:space="preserve"> </w:t>
      </w:r>
      <w:r w:rsidRPr="003832DA">
        <w:rPr>
          <w:rFonts w:asciiTheme="minorHAnsi" w:hAnsiTheme="minorHAnsi" w:cstheme="minorHAnsi"/>
        </w:rPr>
        <w:t>63 CEEAG-a.</w:t>
      </w:r>
    </w:p>
  </w:footnote>
  <w:footnote w:id="6">
    <w:p w14:paraId="5846A364" w14:textId="77777777" w:rsidR="00C9629B" w:rsidRPr="0016486D" w:rsidRDefault="00C9629B" w:rsidP="00C9629B">
      <w:pPr>
        <w:pStyle w:val="FootnoteText"/>
        <w:spacing w:before="0"/>
        <w:ind w:left="0" w:firstLine="0"/>
        <w:contextualSpacing/>
        <w:rPr>
          <w:rFonts w:asciiTheme="minorHAnsi" w:hAnsiTheme="minorHAnsi" w:cstheme="minorHAnsi"/>
        </w:rPr>
      </w:pPr>
      <w:r w:rsidRPr="003C3A19">
        <w:rPr>
          <w:rStyle w:val="FootnoteReference"/>
        </w:rPr>
        <w:footnoteRef/>
      </w:r>
      <w:r>
        <w:rPr>
          <w:rFonts w:asciiTheme="minorHAnsi" w:hAnsiTheme="minorHAnsi" w:cstheme="minorHAnsi"/>
        </w:rPr>
        <w:t xml:space="preserve"> </w:t>
      </w:r>
      <w:proofErr w:type="spellStart"/>
      <w:r w:rsidRPr="0016486D">
        <w:rPr>
          <w:rFonts w:asciiTheme="minorHAnsi" w:hAnsiTheme="minorHAnsi" w:cstheme="minorHAnsi"/>
        </w:rPr>
        <w:t>Ako</w:t>
      </w:r>
      <w:proofErr w:type="spellEnd"/>
      <w:r w:rsidRPr="0016486D">
        <w:rPr>
          <w:rFonts w:asciiTheme="minorHAnsi" w:hAnsiTheme="minorHAnsi" w:cstheme="minorHAnsi"/>
        </w:rPr>
        <w:t xml:space="preserve"> se </w:t>
      </w:r>
      <w:proofErr w:type="spellStart"/>
      <w:r w:rsidRPr="0016486D">
        <w:rPr>
          <w:rFonts w:asciiTheme="minorHAnsi" w:hAnsiTheme="minorHAnsi" w:cstheme="minorHAnsi"/>
        </w:rPr>
        <w:t>oslanjate</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na</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nedavni</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konkurentni</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tenderski</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postupak</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objasnite</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kako</w:t>
      </w:r>
      <w:proofErr w:type="spellEnd"/>
      <w:r w:rsidRPr="0016486D">
        <w:rPr>
          <w:rFonts w:asciiTheme="minorHAnsi" w:hAnsiTheme="minorHAnsi" w:cstheme="minorHAnsi"/>
        </w:rPr>
        <w:t xml:space="preserve"> se on </w:t>
      </w:r>
      <w:proofErr w:type="spellStart"/>
      <w:r w:rsidRPr="0016486D">
        <w:rPr>
          <w:rFonts w:asciiTheme="minorHAnsi" w:hAnsiTheme="minorHAnsi" w:cstheme="minorHAnsi"/>
        </w:rPr>
        <w:t>može</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smatrati</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konkurentnim</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uključujući</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način</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na</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koji</w:t>
      </w:r>
      <w:proofErr w:type="spellEnd"/>
      <w:r w:rsidRPr="0016486D">
        <w:rPr>
          <w:rFonts w:asciiTheme="minorHAnsi" w:hAnsiTheme="minorHAnsi" w:cstheme="minorHAnsi"/>
        </w:rPr>
        <w:t xml:space="preserve"> je </w:t>
      </w:r>
      <w:proofErr w:type="spellStart"/>
      <w:r w:rsidRPr="0016486D">
        <w:rPr>
          <w:rFonts w:asciiTheme="minorHAnsi" w:hAnsiTheme="minorHAnsi" w:cstheme="minorHAnsi"/>
        </w:rPr>
        <w:t>izbjegnuta</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nepredviđena</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dobit</w:t>
      </w:r>
      <w:proofErr w:type="spellEnd"/>
      <w:r w:rsidRPr="0016486D">
        <w:rPr>
          <w:rFonts w:asciiTheme="minorHAnsi" w:hAnsiTheme="minorHAnsi" w:cstheme="minorHAnsi"/>
        </w:rPr>
        <w:t xml:space="preserve"> za </w:t>
      </w:r>
      <w:proofErr w:type="spellStart"/>
      <w:r w:rsidRPr="0016486D">
        <w:rPr>
          <w:rFonts w:asciiTheme="minorHAnsi" w:hAnsiTheme="minorHAnsi" w:cstheme="minorHAnsi"/>
        </w:rPr>
        <w:t>različite</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tehnologije</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uključene</w:t>
      </w:r>
      <w:proofErr w:type="spellEnd"/>
      <w:r w:rsidRPr="0016486D">
        <w:rPr>
          <w:rFonts w:asciiTheme="minorHAnsi" w:hAnsiTheme="minorHAnsi" w:cstheme="minorHAnsi"/>
        </w:rPr>
        <w:t xml:space="preserve"> u </w:t>
      </w:r>
      <w:proofErr w:type="spellStart"/>
      <w:r w:rsidRPr="0016486D">
        <w:rPr>
          <w:rFonts w:asciiTheme="minorHAnsi" w:hAnsiTheme="minorHAnsi" w:cstheme="minorHAnsi"/>
        </w:rPr>
        <w:t>njega</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ako</w:t>
      </w:r>
      <w:proofErr w:type="spellEnd"/>
      <w:r w:rsidRPr="0016486D">
        <w:rPr>
          <w:rFonts w:asciiTheme="minorHAnsi" w:hAnsiTheme="minorHAnsi" w:cstheme="minorHAnsi"/>
        </w:rPr>
        <w:t xml:space="preserve"> je </w:t>
      </w:r>
      <w:proofErr w:type="spellStart"/>
      <w:r w:rsidRPr="0016486D">
        <w:rPr>
          <w:rFonts w:asciiTheme="minorHAnsi" w:hAnsiTheme="minorHAnsi" w:cstheme="minorHAnsi"/>
        </w:rPr>
        <w:t>primjenjivo</w:t>
      </w:r>
      <w:proofErr w:type="spellEnd"/>
      <w:r w:rsidRPr="0016486D">
        <w:rPr>
          <w:rFonts w:asciiTheme="minorHAnsi" w:hAnsiTheme="minorHAnsi" w:cstheme="minorHAnsi"/>
        </w:rPr>
        <w:t xml:space="preserve">, i </w:t>
      </w:r>
      <w:proofErr w:type="spellStart"/>
      <w:r w:rsidRPr="0016486D">
        <w:rPr>
          <w:rFonts w:asciiTheme="minorHAnsi" w:hAnsiTheme="minorHAnsi" w:cstheme="minorHAnsi"/>
        </w:rPr>
        <w:t>na</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osnovu</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čega</w:t>
      </w:r>
      <w:proofErr w:type="spellEnd"/>
      <w:r w:rsidRPr="0016486D">
        <w:rPr>
          <w:rFonts w:asciiTheme="minorHAnsi" w:hAnsiTheme="minorHAnsi" w:cstheme="minorHAnsi"/>
        </w:rPr>
        <w:t xml:space="preserve"> je </w:t>
      </w:r>
      <w:proofErr w:type="spellStart"/>
      <w:r w:rsidRPr="0016486D">
        <w:rPr>
          <w:rFonts w:asciiTheme="minorHAnsi" w:hAnsiTheme="minorHAnsi" w:cstheme="minorHAnsi"/>
        </w:rPr>
        <w:t>uporediv</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na</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primjer</w:t>
      </w:r>
      <w:proofErr w:type="spellEnd"/>
      <w:r w:rsidRPr="0016486D">
        <w:rPr>
          <w:rFonts w:asciiTheme="minorHAnsi" w:hAnsiTheme="minorHAnsi" w:cstheme="minorHAnsi"/>
        </w:rPr>
        <w:t>:</w:t>
      </w:r>
    </w:p>
    <w:p w14:paraId="28F71CD4" w14:textId="77777777" w:rsidR="00C9629B" w:rsidRDefault="00C9629B" w:rsidP="00C9629B">
      <w:pPr>
        <w:pStyle w:val="FootnoteText"/>
        <w:numPr>
          <w:ilvl w:val="0"/>
          <w:numId w:val="13"/>
        </w:numPr>
        <w:spacing w:before="0" w:after="0"/>
        <w:ind w:left="720"/>
        <w:contextualSpacing/>
        <w:rPr>
          <w:rFonts w:asciiTheme="minorHAnsi" w:hAnsiTheme="minorHAnsi" w:cstheme="minorHAnsi"/>
        </w:rPr>
      </w:pPr>
      <w:r w:rsidRPr="0016486D">
        <w:rPr>
          <w:rFonts w:asciiTheme="minorHAnsi" w:hAnsiTheme="minorHAnsi" w:cstheme="minorHAnsi"/>
        </w:rPr>
        <w:t xml:space="preserve">da li </w:t>
      </w:r>
      <w:proofErr w:type="spellStart"/>
      <w:r w:rsidRPr="0016486D">
        <w:rPr>
          <w:rFonts w:asciiTheme="minorHAnsi" w:hAnsiTheme="minorHAnsi" w:cstheme="minorHAnsi"/>
        </w:rPr>
        <w:t>su</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uslovi</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npr</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uslovi</w:t>
      </w:r>
      <w:proofErr w:type="spellEnd"/>
      <w:r w:rsidRPr="0016486D">
        <w:rPr>
          <w:rFonts w:asciiTheme="minorHAnsi" w:hAnsiTheme="minorHAnsi" w:cstheme="minorHAnsi"/>
        </w:rPr>
        <w:t xml:space="preserve"> i </w:t>
      </w:r>
      <w:proofErr w:type="spellStart"/>
      <w:r w:rsidRPr="0016486D">
        <w:rPr>
          <w:rFonts w:asciiTheme="minorHAnsi" w:hAnsiTheme="minorHAnsi" w:cstheme="minorHAnsi"/>
        </w:rPr>
        <w:t>trajanje</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ugovora</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rokovi</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ulaganja</w:t>
      </w:r>
      <w:proofErr w:type="spellEnd"/>
      <w:r w:rsidRPr="0016486D">
        <w:rPr>
          <w:rFonts w:asciiTheme="minorHAnsi" w:hAnsiTheme="minorHAnsi" w:cstheme="minorHAnsi"/>
        </w:rPr>
        <w:t xml:space="preserve">, da li </w:t>
      </w:r>
      <w:proofErr w:type="spellStart"/>
      <w:r w:rsidRPr="0016486D">
        <w:rPr>
          <w:rFonts w:asciiTheme="minorHAnsi" w:hAnsiTheme="minorHAnsi" w:cstheme="minorHAnsi"/>
        </w:rPr>
        <w:t>su</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isplate</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podrške</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indeksirane</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prema</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inflaciji</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slični</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onima</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predloženima</w:t>
      </w:r>
      <w:proofErr w:type="spellEnd"/>
      <w:r w:rsidRPr="0016486D">
        <w:rPr>
          <w:rFonts w:asciiTheme="minorHAnsi" w:hAnsiTheme="minorHAnsi" w:cstheme="minorHAnsi"/>
        </w:rPr>
        <w:t xml:space="preserve"> u </w:t>
      </w:r>
      <w:proofErr w:type="spellStart"/>
      <w:r w:rsidRPr="0016486D">
        <w:rPr>
          <w:rFonts w:asciiTheme="minorHAnsi" w:hAnsiTheme="minorHAnsi" w:cstheme="minorHAnsi"/>
        </w:rPr>
        <w:t>prijavljenoj</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mjeri</w:t>
      </w:r>
      <w:proofErr w:type="spellEnd"/>
      <w:r w:rsidRPr="0016486D">
        <w:rPr>
          <w:rFonts w:asciiTheme="minorHAnsi" w:hAnsiTheme="minorHAnsi" w:cstheme="minorHAnsi"/>
        </w:rPr>
        <w:t>?</w:t>
      </w:r>
    </w:p>
    <w:p w14:paraId="2B19C144" w14:textId="77777777" w:rsidR="00C9629B" w:rsidRDefault="00C9629B" w:rsidP="00C9629B">
      <w:pPr>
        <w:pStyle w:val="FootnoteText"/>
        <w:numPr>
          <w:ilvl w:val="0"/>
          <w:numId w:val="13"/>
        </w:numPr>
        <w:spacing w:before="0" w:after="0"/>
        <w:ind w:left="720"/>
        <w:contextualSpacing/>
        <w:rPr>
          <w:rFonts w:asciiTheme="minorHAnsi" w:hAnsiTheme="minorHAnsi" w:cstheme="minorHAnsi"/>
        </w:rPr>
      </w:pPr>
      <w:r w:rsidRPr="00D5257C">
        <w:rPr>
          <w:rFonts w:asciiTheme="minorHAnsi" w:hAnsiTheme="minorHAnsi" w:cstheme="minorHAnsi"/>
        </w:rPr>
        <w:t xml:space="preserve">da li je </w:t>
      </w:r>
      <w:proofErr w:type="spellStart"/>
      <w:r w:rsidRPr="00D5257C">
        <w:rPr>
          <w:rFonts w:asciiTheme="minorHAnsi" w:hAnsiTheme="minorHAnsi" w:cstheme="minorHAnsi"/>
        </w:rPr>
        <w:t>konkurentni</w:t>
      </w:r>
      <w:proofErr w:type="spellEnd"/>
      <w:r w:rsidRPr="00D5257C">
        <w:rPr>
          <w:rFonts w:asciiTheme="minorHAnsi" w:hAnsiTheme="minorHAnsi" w:cstheme="minorHAnsi"/>
        </w:rPr>
        <w:t xml:space="preserve"> </w:t>
      </w:r>
      <w:proofErr w:type="spellStart"/>
      <w:r w:rsidRPr="00D5257C">
        <w:rPr>
          <w:rFonts w:asciiTheme="minorHAnsi" w:hAnsiTheme="minorHAnsi" w:cstheme="minorHAnsi"/>
        </w:rPr>
        <w:t>postupak</w:t>
      </w:r>
      <w:proofErr w:type="spellEnd"/>
      <w:r w:rsidRPr="00D5257C">
        <w:rPr>
          <w:rFonts w:asciiTheme="minorHAnsi" w:hAnsiTheme="minorHAnsi" w:cstheme="minorHAnsi"/>
        </w:rPr>
        <w:t xml:space="preserve"> </w:t>
      </w:r>
      <w:proofErr w:type="spellStart"/>
      <w:r w:rsidRPr="00D5257C">
        <w:rPr>
          <w:rFonts w:asciiTheme="minorHAnsi" w:hAnsiTheme="minorHAnsi" w:cstheme="minorHAnsi"/>
        </w:rPr>
        <w:t>sproveden</w:t>
      </w:r>
      <w:proofErr w:type="spellEnd"/>
      <w:r w:rsidRPr="00D5257C">
        <w:rPr>
          <w:rFonts w:asciiTheme="minorHAnsi" w:hAnsiTheme="minorHAnsi" w:cstheme="minorHAnsi"/>
        </w:rPr>
        <w:t xml:space="preserve"> u </w:t>
      </w:r>
      <w:proofErr w:type="spellStart"/>
      <w:r w:rsidRPr="00D5257C">
        <w:rPr>
          <w:rFonts w:asciiTheme="minorHAnsi" w:hAnsiTheme="minorHAnsi" w:cstheme="minorHAnsi"/>
        </w:rPr>
        <w:t>sličnim</w:t>
      </w:r>
      <w:proofErr w:type="spellEnd"/>
      <w:r w:rsidRPr="00D5257C">
        <w:rPr>
          <w:rFonts w:asciiTheme="minorHAnsi" w:hAnsiTheme="minorHAnsi" w:cstheme="minorHAnsi"/>
        </w:rPr>
        <w:t xml:space="preserve"> </w:t>
      </w:r>
      <w:proofErr w:type="spellStart"/>
      <w:r w:rsidRPr="00D5257C">
        <w:rPr>
          <w:rFonts w:asciiTheme="minorHAnsi" w:hAnsiTheme="minorHAnsi" w:cstheme="minorHAnsi"/>
        </w:rPr>
        <w:t>makroekonomskim</w:t>
      </w:r>
      <w:proofErr w:type="spellEnd"/>
      <w:r w:rsidRPr="00D5257C">
        <w:rPr>
          <w:rFonts w:asciiTheme="minorHAnsi" w:hAnsiTheme="minorHAnsi" w:cstheme="minorHAnsi"/>
        </w:rPr>
        <w:t xml:space="preserve"> </w:t>
      </w:r>
      <w:proofErr w:type="spellStart"/>
      <w:r w:rsidRPr="00D5257C">
        <w:rPr>
          <w:rFonts w:asciiTheme="minorHAnsi" w:hAnsiTheme="minorHAnsi" w:cstheme="minorHAnsi"/>
        </w:rPr>
        <w:t>uslovima</w:t>
      </w:r>
      <w:proofErr w:type="spellEnd"/>
      <w:r w:rsidRPr="00D5257C">
        <w:rPr>
          <w:rFonts w:asciiTheme="minorHAnsi" w:hAnsiTheme="minorHAnsi" w:cstheme="minorHAnsi"/>
        </w:rPr>
        <w:t>?</w:t>
      </w:r>
    </w:p>
    <w:p w14:paraId="161815C9" w14:textId="77777777" w:rsidR="00C9629B" w:rsidRPr="00D5257C" w:rsidRDefault="00C9629B" w:rsidP="00C9629B">
      <w:pPr>
        <w:pStyle w:val="FootnoteText"/>
        <w:numPr>
          <w:ilvl w:val="0"/>
          <w:numId w:val="13"/>
        </w:numPr>
        <w:spacing w:before="0" w:after="0"/>
        <w:ind w:left="720"/>
        <w:contextualSpacing/>
        <w:rPr>
          <w:rFonts w:asciiTheme="minorHAnsi" w:hAnsiTheme="minorHAnsi" w:cstheme="minorHAnsi"/>
        </w:rPr>
      </w:pPr>
      <w:r w:rsidRPr="00D5257C">
        <w:rPr>
          <w:rFonts w:asciiTheme="minorHAnsi" w:hAnsiTheme="minorHAnsi" w:cstheme="minorHAnsi"/>
        </w:rPr>
        <w:t xml:space="preserve">da li </w:t>
      </w:r>
      <w:proofErr w:type="spellStart"/>
      <w:r w:rsidRPr="00D5257C">
        <w:rPr>
          <w:rFonts w:asciiTheme="minorHAnsi" w:hAnsiTheme="minorHAnsi" w:cstheme="minorHAnsi"/>
        </w:rPr>
        <w:t>su</w:t>
      </w:r>
      <w:proofErr w:type="spellEnd"/>
      <w:r w:rsidRPr="00D5257C">
        <w:rPr>
          <w:rFonts w:asciiTheme="minorHAnsi" w:hAnsiTheme="minorHAnsi" w:cstheme="minorHAnsi"/>
        </w:rPr>
        <w:t xml:space="preserve"> </w:t>
      </w:r>
      <w:proofErr w:type="spellStart"/>
      <w:r w:rsidRPr="00D5257C">
        <w:rPr>
          <w:rFonts w:asciiTheme="minorHAnsi" w:hAnsiTheme="minorHAnsi" w:cstheme="minorHAnsi"/>
        </w:rPr>
        <w:t>tehnologije</w:t>
      </w:r>
      <w:proofErr w:type="spellEnd"/>
      <w:r w:rsidRPr="00D5257C">
        <w:rPr>
          <w:rFonts w:asciiTheme="minorHAnsi" w:hAnsiTheme="minorHAnsi" w:cstheme="minorHAnsi"/>
        </w:rPr>
        <w:t xml:space="preserve"> / </w:t>
      </w:r>
      <w:proofErr w:type="spellStart"/>
      <w:r w:rsidRPr="00D5257C">
        <w:rPr>
          <w:rFonts w:asciiTheme="minorHAnsi" w:hAnsiTheme="minorHAnsi" w:cstheme="minorHAnsi"/>
        </w:rPr>
        <w:t>vrste</w:t>
      </w:r>
      <w:proofErr w:type="spellEnd"/>
      <w:r w:rsidRPr="00D5257C">
        <w:rPr>
          <w:rFonts w:asciiTheme="minorHAnsi" w:hAnsiTheme="minorHAnsi" w:cstheme="minorHAnsi"/>
        </w:rPr>
        <w:t xml:space="preserve"> </w:t>
      </w:r>
      <w:proofErr w:type="spellStart"/>
      <w:r w:rsidRPr="00D5257C">
        <w:rPr>
          <w:rFonts w:asciiTheme="minorHAnsi" w:hAnsiTheme="minorHAnsi" w:cstheme="minorHAnsi"/>
        </w:rPr>
        <w:t>projekata</w:t>
      </w:r>
      <w:proofErr w:type="spellEnd"/>
      <w:r w:rsidRPr="00D5257C">
        <w:rPr>
          <w:rFonts w:asciiTheme="minorHAnsi" w:hAnsiTheme="minorHAnsi" w:cstheme="minorHAnsi"/>
        </w:rPr>
        <w:t xml:space="preserve"> </w:t>
      </w:r>
      <w:proofErr w:type="spellStart"/>
      <w:r w:rsidRPr="00D5257C">
        <w:rPr>
          <w:rFonts w:asciiTheme="minorHAnsi" w:hAnsiTheme="minorHAnsi" w:cstheme="minorHAnsi"/>
        </w:rPr>
        <w:t>slične</w:t>
      </w:r>
      <w:proofErr w:type="spellEnd"/>
      <w:r w:rsidRPr="00D5257C">
        <w:rPr>
          <w:rFonts w:asciiTheme="minorHAnsi" w:hAnsiTheme="minorHAnsi" w:cstheme="minorHAnsi"/>
        </w:rPr>
        <w:t>?</w:t>
      </w:r>
    </w:p>
  </w:footnote>
  <w:footnote w:id="7">
    <w:p w14:paraId="35088FD2" w14:textId="77777777" w:rsidR="00C9629B" w:rsidRPr="00461FE3" w:rsidRDefault="00C9629B" w:rsidP="00C9629B">
      <w:pPr>
        <w:pStyle w:val="FootnoteText"/>
        <w:spacing w:before="0"/>
        <w:ind w:left="0" w:firstLine="0"/>
        <w:contextualSpacing/>
        <w:rPr>
          <w:rFonts w:asciiTheme="minorHAnsi" w:hAnsiTheme="minorHAnsi" w:cstheme="minorHAnsi"/>
        </w:rPr>
      </w:pPr>
      <w:r w:rsidRPr="00461FE3">
        <w:rPr>
          <w:rStyle w:val="FootnoteReference"/>
          <w:rFonts w:asciiTheme="minorHAnsi" w:hAnsiTheme="minorHAnsi" w:cstheme="minorHAnsi"/>
        </w:rPr>
        <w:footnoteRef/>
      </w:r>
      <w:r>
        <w:rPr>
          <w:rFonts w:asciiTheme="minorHAnsi" w:hAnsiTheme="minorHAnsi" w:cstheme="minorHAnsi"/>
        </w:rPr>
        <w:t xml:space="preserve"> </w:t>
      </w:r>
      <w:r w:rsidRPr="00461FE3">
        <w:rPr>
          <w:rFonts w:asciiTheme="minorHAnsi" w:hAnsiTheme="minorHAnsi" w:cstheme="minorHAnsi"/>
        </w:rPr>
        <w:t xml:space="preserve">U </w:t>
      </w:r>
      <w:proofErr w:type="spellStart"/>
      <w:r w:rsidRPr="00461FE3">
        <w:rPr>
          <w:rFonts w:asciiTheme="minorHAnsi" w:hAnsiTheme="minorHAnsi" w:cstheme="minorHAnsi"/>
        </w:rPr>
        <w:t>skladu</w:t>
      </w:r>
      <w:proofErr w:type="spellEnd"/>
      <w:r w:rsidRPr="00461FE3">
        <w:rPr>
          <w:rFonts w:asciiTheme="minorHAnsi" w:hAnsiTheme="minorHAnsi" w:cstheme="minorHAnsi"/>
        </w:rPr>
        <w:t xml:space="preserve"> </w:t>
      </w:r>
      <w:proofErr w:type="spellStart"/>
      <w:r w:rsidRPr="00461FE3">
        <w:rPr>
          <w:rFonts w:asciiTheme="minorHAnsi" w:hAnsiTheme="minorHAnsi" w:cstheme="minorHAnsi"/>
        </w:rPr>
        <w:t>sa</w:t>
      </w:r>
      <w:proofErr w:type="spellEnd"/>
      <w:r w:rsidRPr="00461FE3">
        <w:rPr>
          <w:rFonts w:asciiTheme="minorHAnsi" w:hAnsiTheme="minorHAnsi" w:cstheme="minorHAnsi"/>
        </w:rPr>
        <w:t xml:space="preserve"> </w:t>
      </w:r>
      <w:proofErr w:type="spellStart"/>
      <w:r w:rsidRPr="00461FE3">
        <w:rPr>
          <w:rFonts w:asciiTheme="minorHAnsi" w:hAnsiTheme="minorHAnsi" w:cstheme="minorHAnsi"/>
        </w:rPr>
        <w:t>tačkom</w:t>
      </w:r>
      <w:proofErr w:type="spellEnd"/>
      <w:r w:rsidRPr="00461FE3">
        <w:rPr>
          <w:rFonts w:asciiTheme="minorHAnsi" w:hAnsiTheme="minorHAnsi" w:cstheme="minorHAnsi"/>
        </w:rPr>
        <w:t xml:space="preserve"> 19 </w:t>
      </w:r>
      <w:proofErr w:type="spellStart"/>
      <w:r w:rsidRPr="00461FE3">
        <w:rPr>
          <w:rFonts w:asciiTheme="minorHAnsi" w:hAnsiTheme="minorHAnsi" w:cstheme="minorHAnsi"/>
        </w:rPr>
        <w:t>podtačka</w:t>
      </w:r>
      <w:proofErr w:type="spellEnd"/>
      <w:r w:rsidRPr="00461FE3">
        <w:rPr>
          <w:rFonts w:asciiTheme="minorHAnsi" w:hAnsiTheme="minorHAnsi" w:cstheme="minorHAnsi"/>
        </w:rPr>
        <w:t xml:space="preserve"> 89 CEEAG-a „</w:t>
      </w:r>
      <w:proofErr w:type="spellStart"/>
      <w:r w:rsidRPr="00461FE3">
        <w:rPr>
          <w:rFonts w:asciiTheme="minorHAnsi" w:hAnsiTheme="minorHAnsi" w:cstheme="minorHAnsi"/>
        </w:rPr>
        <w:t>norma</w:t>
      </w:r>
      <w:proofErr w:type="spellEnd"/>
      <w:r w:rsidRPr="00461FE3">
        <w:rPr>
          <w:rFonts w:asciiTheme="minorHAnsi" w:hAnsiTheme="minorHAnsi" w:cstheme="minorHAnsi"/>
        </w:rPr>
        <w:t xml:space="preserve"> </w:t>
      </w:r>
      <w:proofErr w:type="spellStart"/>
      <w:r w:rsidRPr="00461FE3">
        <w:rPr>
          <w:rFonts w:asciiTheme="minorHAnsi" w:hAnsiTheme="minorHAnsi" w:cstheme="minorHAnsi"/>
        </w:rPr>
        <w:t>Unije</w:t>
      </w:r>
      <w:proofErr w:type="spellEnd"/>
      <w:r w:rsidRPr="00461FE3">
        <w:rPr>
          <w:rFonts w:asciiTheme="minorHAnsi" w:hAnsiTheme="minorHAnsi" w:cstheme="minorHAnsi"/>
        </w:rPr>
        <w:t xml:space="preserve">” </w:t>
      </w:r>
      <w:proofErr w:type="spellStart"/>
      <w:r w:rsidRPr="00461FE3">
        <w:rPr>
          <w:rFonts w:asciiTheme="minorHAnsi" w:hAnsiTheme="minorHAnsi" w:cstheme="minorHAnsi"/>
        </w:rPr>
        <w:t>znači</w:t>
      </w:r>
      <w:proofErr w:type="spellEnd"/>
      <w:r w:rsidRPr="00461FE3">
        <w:rPr>
          <w:rFonts w:asciiTheme="minorHAnsi" w:hAnsiTheme="minorHAnsi" w:cstheme="minorHAnsi"/>
        </w:rPr>
        <w:t>:</w:t>
      </w:r>
    </w:p>
    <w:p w14:paraId="24822FED" w14:textId="77777777" w:rsidR="00C9629B" w:rsidRDefault="00C9629B" w:rsidP="00C9629B">
      <w:pPr>
        <w:pStyle w:val="FootnoteText"/>
        <w:numPr>
          <w:ilvl w:val="0"/>
          <w:numId w:val="14"/>
        </w:numPr>
        <w:spacing w:before="0" w:after="0"/>
        <w:ind w:left="720"/>
        <w:contextualSpacing/>
        <w:rPr>
          <w:rFonts w:asciiTheme="minorHAnsi" w:hAnsiTheme="minorHAnsi" w:cstheme="minorHAnsi"/>
          <w:i/>
        </w:rPr>
      </w:pPr>
      <w:proofErr w:type="spellStart"/>
      <w:r w:rsidRPr="00461FE3">
        <w:rPr>
          <w:rFonts w:asciiTheme="minorHAnsi" w:hAnsiTheme="minorHAnsi" w:cstheme="minorHAnsi"/>
          <w:i/>
        </w:rPr>
        <w:t>obvezujuća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norma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Unije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kojom</w:t>
      </w:r>
      <w:proofErr w:type="spellEnd"/>
      <w:r w:rsidRPr="00461FE3">
        <w:rPr>
          <w:rFonts w:asciiTheme="minorHAnsi" w:hAnsiTheme="minorHAnsi" w:cstheme="minorHAnsi"/>
          <w:i/>
        </w:rPr>
        <w:t xml:space="preserve"> se </w:t>
      </w:r>
      <w:proofErr w:type="spellStart"/>
      <w:r w:rsidRPr="00461FE3">
        <w:rPr>
          <w:rFonts w:asciiTheme="minorHAnsi" w:hAnsiTheme="minorHAnsi" w:cstheme="minorHAnsi"/>
          <w:i/>
        </w:rPr>
        <w:t>utvrđuju</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nivoi</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koje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pojedina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privredna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društva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treba</w:t>
      </w:r>
      <w:proofErr w:type="spellEnd"/>
      <w:r w:rsidRPr="00461FE3">
        <w:rPr>
          <w:rFonts w:asciiTheme="minorHAnsi" w:hAnsiTheme="minorHAnsi" w:cstheme="minorHAnsi"/>
          <w:i/>
        </w:rPr>
        <w:t xml:space="preserve"> da </w:t>
      </w:r>
      <w:proofErr w:type="spellStart"/>
      <w:r w:rsidRPr="00461FE3">
        <w:rPr>
          <w:rFonts w:asciiTheme="minorHAnsi" w:hAnsiTheme="minorHAnsi" w:cstheme="minorHAnsi"/>
          <w:i/>
        </w:rPr>
        <w:t>postignu</w:t>
      </w:r>
      <w:proofErr w:type="spellEnd"/>
      <w:r w:rsidRPr="00461FE3">
        <w:rPr>
          <w:rFonts w:asciiTheme="minorHAnsi" w:hAnsiTheme="minorHAnsi" w:cstheme="minorHAnsi"/>
          <w:i/>
        </w:rPr>
        <w:t xml:space="preserve"> u </w:t>
      </w:r>
      <w:proofErr w:type="spellStart"/>
      <w:r w:rsidRPr="00461FE3">
        <w:rPr>
          <w:rFonts w:asciiTheme="minorHAnsi" w:hAnsiTheme="minorHAnsi" w:cstheme="minorHAnsi"/>
          <w:i/>
        </w:rPr>
        <w:t>pogledu</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zaštite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životne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sredine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isključujući</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norme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ili</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ciljeve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utvrđene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na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nivou</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Unije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koji</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su</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obvezujući</w:t>
      </w:r>
      <w:proofErr w:type="spellEnd"/>
      <w:r w:rsidRPr="00461FE3">
        <w:rPr>
          <w:rFonts w:asciiTheme="minorHAnsi" w:hAnsiTheme="minorHAnsi" w:cstheme="minorHAnsi"/>
          <w:i/>
        </w:rPr>
        <w:t xml:space="preserve"> za </w:t>
      </w:r>
      <w:proofErr w:type="spellStart"/>
      <w:r w:rsidRPr="00461FE3">
        <w:rPr>
          <w:rFonts w:asciiTheme="minorHAnsi" w:hAnsiTheme="minorHAnsi" w:cstheme="minorHAnsi"/>
          <w:i/>
        </w:rPr>
        <w:t>države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članice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ali</w:t>
      </w:r>
      <w:proofErr w:type="spellEnd"/>
      <w:r w:rsidRPr="00461FE3">
        <w:rPr>
          <w:rFonts w:asciiTheme="minorHAnsi" w:hAnsiTheme="minorHAnsi" w:cstheme="minorHAnsi"/>
          <w:i/>
        </w:rPr>
        <w:t xml:space="preserve"> ne i za </w:t>
      </w:r>
      <w:proofErr w:type="spellStart"/>
      <w:r w:rsidRPr="00461FE3">
        <w:rPr>
          <w:rFonts w:asciiTheme="minorHAnsi" w:hAnsiTheme="minorHAnsi" w:cstheme="minorHAnsi"/>
          <w:i/>
        </w:rPr>
        <w:t>pojedinačna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privredna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društva</w:t>
      </w:r>
      <w:proofErr w:type="spellEnd"/>
      <w:r w:rsidRPr="00461FE3">
        <w:rPr>
          <w:rFonts w:asciiTheme="minorHAnsi" w:hAnsiTheme="minorHAnsi" w:cstheme="minorHAnsi"/>
          <w:i/>
        </w:rPr>
        <w:t>;</w:t>
      </w:r>
    </w:p>
    <w:p w14:paraId="31755943" w14:textId="77777777" w:rsidR="00C9629B" w:rsidRPr="00D5257C" w:rsidRDefault="00C9629B" w:rsidP="00C9629B">
      <w:pPr>
        <w:pStyle w:val="FootnoteText"/>
        <w:numPr>
          <w:ilvl w:val="0"/>
          <w:numId w:val="14"/>
        </w:numPr>
        <w:spacing w:before="0" w:after="0"/>
        <w:ind w:left="720"/>
        <w:contextualSpacing/>
        <w:rPr>
          <w:rFonts w:asciiTheme="minorHAnsi" w:hAnsiTheme="minorHAnsi" w:cstheme="minorHAnsi"/>
          <w:i/>
        </w:rPr>
      </w:pPr>
      <w:proofErr w:type="spellStart"/>
      <w:r w:rsidRPr="00D5257C">
        <w:rPr>
          <w:rFonts w:asciiTheme="minorHAnsi" w:hAnsiTheme="minorHAnsi" w:cstheme="minorHAnsi"/>
          <w:i/>
        </w:rPr>
        <w:t>obaveza</w:t>
      </w:r>
      <w:proofErr w:type="spellEnd"/>
      <w:r w:rsidRPr="00D5257C">
        <w:rPr>
          <w:rFonts w:asciiTheme="minorHAnsi" w:hAnsiTheme="minorHAnsi" w:cstheme="minorHAnsi"/>
          <w:i/>
        </w:rPr>
        <w:t xml:space="preserve"> </w:t>
      </w:r>
      <w:proofErr w:type="spellStart"/>
      <w:r w:rsidRPr="00D5257C">
        <w:rPr>
          <w:rFonts w:asciiTheme="minorHAnsi" w:hAnsiTheme="minorHAnsi" w:cstheme="minorHAnsi"/>
          <w:i/>
        </w:rPr>
        <w:t>upotrebe</w:t>
      </w:r>
      <w:proofErr w:type="spellEnd"/>
      <w:r w:rsidRPr="00D5257C">
        <w:rPr>
          <w:rFonts w:asciiTheme="minorHAnsi" w:hAnsiTheme="minorHAnsi" w:cstheme="minorHAnsi"/>
          <w:i/>
        </w:rPr>
        <w:t xml:space="preserve"> </w:t>
      </w:r>
      <w:proofErr w:type="spellStart"/>
      <w:r w:rsidRPr="00D5257C">
        <w:rPr>
          <w:rFonts w:asciiTheme="minorHAnsi" w:hAnsiTheme="minorHAnsi" w:cstheme="minorHAnsi"/>
          <w:i/>
        </w:rPr>
        <w:t>najboljih</w:t>
      </w:r>
      <w:proofErr w:type="spellEnd"/>
      <w:r w:rsidRPr="00D5257C">
        <w:rPr>
          <w:rFonts w:asciiTheme="minorHAnsi" w:hAnsiTheme="minorHAnsi" w:cstheme="minorHAnsi"/>
          <w:i/>
        </w:rPr>
        <w:t xml:space="preserve"> </w:t>
      </w:r>
      <w:proofErr w:type="spellStart"/>
      <w:r w:rsidRPr="00D5257C">
        <w:rPr>
          <w:rFonts w:asciiTheme="minorHAnsi" w:hAnsiTheme="minorHAnsi" w:cstheme="minorHAnsi"/>
          <w:i/>
        </w:rPr>
        <w:t>raspoloživih</w:t>
      </w:r>
      <w:proofErr w:type="spellEnd"/>
      <w:r w:rsidRPr="00D5257C">
        <w:rPr>
          <w:rFonts w:asciiTheme="minorHAnsi" w:hAnsiTheme="minorHAnsi" w:cstheme="minorHAnsi"/>
          <w:i/>
        </w:rPr>
        <w:t xml:space="preserve"> </w:t>
      </w:r>
      <w:proofErr w:type="spellStart"/>
      <w:r w:rsidRPr="00D5257C">
        <w:rPr>
          <w:rFonts w:asciiTheme="minorHAnsi" w:hAnsiTheme="minorHAnsi" w:cstheme="minorHAnsi"/>
          <w:i/>
        </w:rPr>
        <w:t>tehnika</w:t>
      </w:r>
      <w:proofErr w:type="spellEnd"/>
      <w:r w:rsidRPr="00D5257C">
        <w:rPr>
          <w:rFonts w:asciiTheme="minorHAnsi" w:hAnsiTheme="minorHAnsi" w:cstheme="minorHAnsi"/>
          <w:i/>
        </w:rPr>
        <w:t xml:space="preserve"> (BAT), </w:t>
      </w:r>
      <w:proofErr w:type="spellStart"/>
      <w:r w:rsidRPr="00D5257C">
        <w:rPr>
          <w:rFonts w:asciiTheme="minorHAnsi" w:hAnsiTheme="minorHAnsi" w:cstheme="minorHAnsi"/>
          <w:i/>
        </w:rPr>
        <w:t>kako</w:t>
      </w:r>
      <w:proofErr w:type="spellEnd"/>
      <w:r w:rsidRPr="00D5257C">
        <w:rPr>
          <w:rFonts w:asciiTheme="minorHAnsi" w:hAnsiTheme="minorHAnsi" w:cstheme="minorHAnsi"/>
          <w:i/>
        </w:rPr>
        <w:t xml:space="preserve"> </w:t>
      </w:r>
      <w:proofErr w:type="spellStart"/>
      <w:r w:rsidRPr="00D5257C">
        <w:rPr>
          <w:rFonts w:asciiTheme="minorHAnsi" w:hAnsiTheme="minorHAnsi" w:cstheme="minorHAnsi"/>
          <w:i/>
        </w:rPr>
        <w:t>su</w:t>
      </w:r>
      <w:proofErr w:type="spellEnd"/>
      <w:r w:rsidRPr="00D5257C">
        <w:rPr>
          <w:rFonts w:asciiTheme="minorHAnsi" w:hAnsiTheme="minorHAnsi" w:cstheme="minorHAnsi"/>
          <w:i/>
        </w:rPr>
        <w:t xml:space="preserve"> </w:t>
      </w:r>
      <w:proofErr w:type="spellStart"/>
      <w:r w:rsidRPr="00D5257C">
        <w:rPr>
          <w:rFonts w:asciiTheme="minorHAnsi" w:hAnsiTheme="minorHAnsi" w:cstheme="minorHAnsi"/>
          <w:i/>
        </w:rPr>
        <w:t>definisane</w:t>
      </w:r>
      <w:proofErr w:type="spellEnd"/>
      <w:r w:rsidRPr="00D5257C">
        <w:rPr>
          <w:rFonts w:asciiTheme="minorHAnsi" w:hAnsiTheme="minorHAnsi" w:cstheme="minorHAnsi"/>
          <w:i/>
        </w:rPr>
        <w:t xml:space="preserve"> u </w:t>
      </w:r>
      <w:proofErr w:type="spellStart"/>
      <w:r w:rsidRPr="00D5257C">
        <w:rPr>
          <w:rFonts w:asciiTheme="minorHAnsi" w:hAnsiTheme="minorHAnsi" w:cstheme="minorHAnsi"/>
          <w:i/>
        </w:rPr>
        <w:t>Direktivi</w:t>
      </w:r>
      <w:proofErr w:type="spellEnd"/>
      <w:r w:rsidRPr="00D5257C">
        <w:rPr>
          <w:rFonts w:asciiTheme="minorHAnsi" w:hAnsiTheme="minorHAnsi" w:cstheme="minorHAnsi"/>
          <w:i/>
        </w:rPr>
        <w:t xml:space="preserve"> 2010/75/EU, i </w:t>
      </w:r>
      <w:proofErr w:type="spellStart"/>
      <w:r w:rsidRPr="00D5257C">
        <w:rPr>
          <w:rFonts w:asciiTheme="minorHAnsi" w:hAnsiTheme="minorHAnsi" w:cstheme="minorHAnsi"/>
          <w:i/>
        </w:rPr>
        <w:t>osiguravanea</w:t>
      </w:r>
      <w:proofErr w:type="spellEnd"/>
      <w:r w:rsidRPr="00D5257C">
        <w:rPr>
          <w:rFonts w:asciiTheme="minorHAnsi" w:hAnsiTheme="minorHAnsi" w:cstheme="minorHAnsi"/>
          <w:i/>
        </w:rPr>
        <w:t xml:space="preserve"> da </w:t>
      </w:r>
      <w:proofErr w:type="spellStart"/>
      <w:r w:rsidRPr="00D5257C">
        <w:rPr>
          <w:rFonts w:asciiTheme="minorHAnsi" w:hAnsiTheme="minorHAnsi" w:cstheme="minorHAnsi"/>
          <w:i/>
        </w:rPr>
        <w:t>nivoi</w:t>
      </w:r>
      <w:proofErr w:type="spellEnd"/>
      <w:r w:rsidRPr="00D5257C">
        <w:rPr>
          <w:rFonts w:asciiTheme="minorHAnsi" w:hAnsiTheme="minorHAnsi" w:cstheme="minorHAnsi"/>
          <w:i/>
        </w:rPr>
        <w:t xml:space="preserve"> </w:t>
      </w:r>
      <w:proofErr w:type="spellStart"/>
      <w:r w:rsidRPr="00D5257C">
        <w:rPr>
          <w:rFonts w:asciiTheme="minorHAnsi" w:hAnsiTheme="minorHAnsi" w:cstheme="minorHAnsi"/>
          <w:i/>
        </w:rPr>
        <w:t>emisija</w:t>
      </w:r>
      <w:proofErr w:type="spellEnd"/>
      <w:r w:rsidRPr="00D5257C">
        <w:rPr>
          <w:rFonts w:asciiTheme="minorHAnsi" w:hAnsiTheme="minorHAnsi" w:cstheme="minorHAnsi"/>
          <w:i/>
        </w:rPr>
        <w:t xml:space="preserve"> ne </w:t>
      </w:r>
      <w:proofErr w:type="spellStart"/>
      <w:r w:rsidRPr="00D5257C">
        <w:rPr>
          <w:rFonts w:asciiTheme="minorHAnsi" w:hAnsiTheme="minorHAnsi" w:cstheme="minorHAnsi"/>
          <w:i/>
        </w:rPr>
        <w:t>prelaze</w:t>
      </w:r>
      <w:proofErr w:type="spellEnd"/>
      <w:r w:rsidRPr="00D5257C">
        <w:rPr>
          <w:rFonts w:asciiTheme="minorHAnsi" w:hAnsiTheme="minorHAnsi" w:cstheme="minorHAnsi"/>
          <w:i/>
        </w:rPr>
        <w:t xml:space="preserve"> </w:t>
      </w:r>
      <w:proofErr w:type="spellStart"/>
      <w:r w:rsidRPr="00D5257C">
        <w:rPr>
          <w:rFonts w:asciiTheme="minorHAnsi" w:hAnsiTheme="minorHAnsi" w:cstheme="minorHAnsi"/>
          <w:i/>
        </w:rPr>
        <w:t>nivoe</w:t>
      </w:r>
      <w:proofErr w:type="spellEnd"/>
      <w:r w:rsidRPr="00D5257C">
        <w:rPr>
          <w:rFonts w:asciiTheme="minorHAnsi" w:hAnsiTheme="minorHAnsi" w:cstheme="minorHAnsi"/>
          <w:i/>
        </w:rPr>
        <w:t xml:space="preserve"> </w:t>
      </w:r>
      <w:proofErr w:type="spellStart"/>
      <w:r w:rsidRPr="00D5257C">
        <w:rPr>
          <w:rFonts w:asciiTheme="minorHAnsi" w:hAnsiTheme="minorHAnsi" w:cstheme="minorHAnsi"/>
          <w:i/>
        </w:rPr>
        <w:t>koji</w:t>
      </w:r>
      <w:proofErr w:type="spellEnd"/>
      <w:r w:rsidRPr="00D5257C">
        <w:rPr>
          <w:rFonts w:asciiTheme="minorHAnsi" w:hAnsiTheme="minorHAnsi" w:cstheme="minorHAnsi"/>
          <w:i/>
        </w:rPr>
        <w:t xml:space="preserve"> bi se </w:t>
      </w:r>
      <w:proofErr w:type="spellStart"/>
      <w:r w:rsidRPr="00D5257C">
        <w:rPr>
          <w:rFonts w:asciiTheme="minorHAnsi" w:hAnsiTheme="minorHAnsi" w:cstheme="minorHAnsi"/>
          <w:i/>
        </w:rPr>
        <w:t>postigli</w:t>
      </w:r>
      <w:proofErr w:type="spellEnd"/>
      <w:r w:rsidRPr="00D5257C">
        <w:rPr>
          <w:rFonts w:asciiTheme="minorHAnsi" w:hAnsiTheme="minorHAnsi" w:cstheme="minorHAnsi"/>
          <w:i/>
        </w:rPr>
        <w:t xml:space="preserve"> </w:t>
      </w:r>
      <w:proofErr w:type="spellStart"/>
      <w:r w:rsidRPr="00D5257C">
        <w:rPr>
          <w:rFonts w:asciiTheme="minorHAnsi" w:hAnsiTheme="minorHAnsi" w:cstheme="minorHAnsi"/>
          <w:i/>
        </w:rPr>
        <w:t>uz</w:t>
      </w:r>
      <w:proofErr w:type="spellEnd"/>
      <w:r w:rsidRPr="00D5257C">
        <w:rPr>
          <w:rFonts w:asciiTheme="minorHAnsi" w:hAnsiTheme="minorHAnsi" w:cstheme="minorHAnsi"/>
          <w:i/>
        </w:rPr>
        <w:t xml:space="preserve"> </w:t>
      </w:r>
      <w:proofErr w:type="spellStart"/>
      <w:r w:rsidRPr="00D5257C">
        <w:rPr>
          <w:rFonts w:asciiTheme="minorHAnsi" w:hAnsiTheme="minorHAnsi" w:cstheme="minorHAnsi"/>
          <w:i/>
        </w:rPr>
        <w:t>primjenu</w:t>
      </w:r>
      <w:proofErr w:type="spellEnd"/>
      <w:r w:rsidRPr="00D5257C">
        <w:rPr>
          <w:rFonts w:asciiTheme="minorHAnsi" w:hAnsiTheme="minorHAnsi" w:cstheme="minorHAnsi"/>
          <w:i/>
        </w:rPr>
        <w:t xml:space="preserve"> BAT-a; </w:t>
      </w:r>
      <w:proofErr w:type="spellStart"/>
      <w:r w:rsidRPr="00D5257C">
        <w:rPr>
          <w:rFonts w:asciiTheme="minorHAnsi" w:hAnsiTheme="minorHAnsi" w:cstheme="minorHAnsi"/>
          <w:i/>
        </w:rPr>
        <w:t>ako</w:t>
      </w:r>
      <w:proofErr w:type="spellEnd"/>
      <w:r w:rsidRPr="00D5257C">
        <w:rPr>
          <w:rFonts w:asciiTheme="minorHAnsi" w:hAnsiTheme="minorHAnsi" w:cstheme="minorHAnsi"/>
          <w:i/>
        </w:rPr>
        <w:t xml:space="preserve"> </w:t>
      </w:r>
      <w:proofErr w:type="spellStart"/>
      <w:r w:rsidRPr="00D5257C">
        <w:rPr>
          <w:rFonts w:asciiTheme="minorHAnsi" w:hAnsiTheme="minorHAnsi" w:cstheme="minorHAnsi"/>
          <w:i/>
        </w:rPr>
        <w:t>su</w:t>
      </w:r>
      <w:proofErr w:type="spellEnd"/>
      <w:r w:rsidRPr="00D5257C">
        <w:rPr>
          <w:rFonts w:asciiTheme="minorHAnsi" w:hAnsiTheme="minorHAnsi" w:cstheme="minorHAnsi"/>
          <w:i/>
        </w:rPr>
        <w:t xml:space="preserve"> </w:t>
      </w:r>
      <w:proofErr w:type="spellStart"/>
      <w:r w:rsidRPr="00D5257C">
        <w:rPr>
          <w:rFonts w:asciiTheme="minorHAnsi" w:hAnsiTheme="minorHAnsi" w:cstheme="minorHAnsi"/>
          <w:i/>
        </w:rPr>
        <w:t>nivoi</w:t>
      </w:r>
      <w:proofErr w:type="spellEnd"/>
      <w:r w:rsidRPr="00D5257C">
        <w:rPr>
          <w:rFonts w:asciiTheme="minorHAnsi" w:hAnsiTheme="minorHAnsi" w:cstheme="minorHAnsi"/>
          <w:i/>
        </w:rPr>
        <w:t xml:space="preserve"> </w:t>
      </w:r>
      <w:proofErr w:type="spellStart"/>
      <w:r w:rsidRPr="00D5257C">
        <w:rPr>
          <w:rFonts w:asciiTheme="minorHAnsi" w:hAnsiTheme="minorHAnsi" w:cstheme="minorHAnsi"/>
          <w:i/>
        </w:rPr>
        <w:t>emisija</w:t>
      </w:r>
      <w:proofErr w:type="spellEnd"/>
      <w:r w:rsidRPr="00D5257C">
        <w:rPr>
          <w:rFonts w:asciiTheme="minorHAnsi" w:hAnsiTheme="minorHAnsi" w:cstheme="minorHAnsi"/>
          <w:i/>
        </w:rPr>
        <w:t xml:space="preserve"> </w:t>
      </w:r>
      <w:proofErr w:type="spellStart"/>
      <w:r w:rsidRPr="00D5257C">
        <w:rPr>
          <w:rFonts w:asciiTheme="minorHAnsi" w:hAnsiTheme="minorHAnsi" w:cstheme="minorHAnsi"/>
          <w:i/>
        </w:rPr>
        <w:t>povezani</w:t>
      </w:r>
      <w:proofErr w:type="spellEnd"/>
      <w:r w:rsidRPr="00D5257C">
        <w:rPr>
          <w:rFonts w:asciiTheme="minorHAnsi" w:hAnsiTheme="minorHAnsi" w:cstheme="minorHAnsi"/>
          <w:i/>
        </w:rPr>
        <w:t xml:space="preserve"> </w:t>
      </w:r>
      <w:proofErr w:type="spellStart"/>
      <w:r w:rsidRPr="00D5257C">
        <w:rPr>
          <w:rFonts w:asciiTheme="minorHAnsi" w:hAnsiTheme="minorHAnsi" w:cstheme="minorHAnsi"/>
          <w:i/>
        </w:rPr>
        <w:t>sa</w:t>
      </w:r>
      <w:proofErr w:type="spellEnd"/>
      <w:r w:rsidRPr="00D5257C">
        <w:rPr>
          <w:rFonts w:asciiTheme="minorHAnsi" w:hAnsiTheme="minorHAnsi" w:cstheme="minorHAnsi"/>
          <w:i/>
        </w:rPr>
        <w:t xml:space="preserve"> BAT-om </w:t>
      </w:r>
      <w:proofErr w:type="spellStart"/>
      <w:r w:rsidRPr="00D5257C">
        <w:rPr>
          <w:rFonts w:asciiTheme="minorHAnsi" w:hAnsiTheme="minorHAnsi" w:cstheme="minorHAnsi"/>
          <w:i/>
        </w:rPr>
        <w:t>utvrđeni</w:t>
      </w:r>
      <w:proofErr w:type="spellEnd"/>
      <w:r w:rsidRPr="00D5257C">
        <w:rPr>
          <w:rFonts w:asciiTheme="minorHAnsi" w:hAnsiTheme="minorHAnsi" w:cstheme="minorHAnsi"/>
          <w:i/>
        </w:rPr>
        <w:t xml:space="preserve"> u </w:t>
      </w:r>
      <w:proofErr w:type="spellStart"/>
      <w:r w:rsidRPr="00D5257C">
        <w:rPr>
          <w:rFonts w:asciiTheme="minorHAnsi" w:hAnsiTheme="minorHAnsi" w:cstheme="minorHAnsi"/>
          <w:i/>
        </w:rPr>
        <w:t>implementacionim</w:t>
      </w:r>
      <w:proofErr w:type="spellEnd"/>
      <w:r w:rsidRPr="00D5257C">
        <w:rPr>
          <w:rFonts w:asciiTheme="minorHAnsi" w:hAnsiTheme="minorHAnsi" w:cstheme="minorHAnsi"/>
          <w:i/>
        </w:rPr>
        <w:t xml:space="preserve"> </w:t>
      </w:r>
      <w:proofErr w:type="spellStart"/>
      <w:r w:rsidRPr="00D5257C">
        <w:rPr>
          <w:rFonts w:asciiTheme="minorHAnsi" w:hAnsiTheme="minorHAnsi" w:cstheme="minorHAnsi"/>
          <w:i/>
        </w:rPr>
        <w:t>aktima</w:t>
      </w:r>
      <w:proofErr w:type="spellEnd"/>
      <w:r w:rsidRPr="00D5257C">
        <w:rPr>
          <w:rFonts w:asciiTheme="minorHAnsi" w:hAnsiTheme="minorHAnsi" w:cstheme="minorHAnsi"/>
          <w:i/>
        </w:rPr>
        <w:t xml:space="preserve"> </w:t>
      </w:r>
      <w:proofErr w:type="spellStart"/>
      <w:r w:rsidRPr="00D5257C">
        <w:rPr>
          <w:rFonts w:asciiTheme="minorHAnsi" w:hAnsiTheme="minorHAnsi" w:cstheme="minorHAnsi"/>
          <w:i/>
        </w:rPr>
        <w:t>donesenima</w:t>
      </w:r>
      <w:proofErr w:type="spellEnd"/>
      <w:r w:rsidRPr="00D5257C">
        <w:rPr>
          <w:rFonts w:asciiTheme="minorHAnsi" w:hAnsiTheme="minorHAnsi" w:cstheme="minorHAnsi"/>
          <w:i/>
        </w:rPr>
        <w:t xml:space="preserve"> </w:t>
      </w:r>
      <w:proofErr w:type="spellStart"/>
      <w:r w:rsidRPr="00D5257C">
        <w:rPr>
          <w:rFonts w:asciiTheme="minorHAnsi" w:hAnsiTheme="minorHAnsi" w:cstheme="minorHAnsi"/>
          <w:i/>
        </w:rPr>
        <w:t>na</w:t>
      </w:r>
      <w:proofErr w:type="spellEnd"/>
      <w:r w:rsidRPr="00D5257C">
        <w:rPr>
          <w:rFonts w:asciiTheme="minorHAnsi" w:hAnsiTheme="minorHAnsi" w:cstheme="minorHAnsi"/>
          <w:i/>
        </w:rPr>
        <w:t xml:space="preserve"> </w:t>
      </w:r>
      <w:proofErr w:type="spellStart"/>
      <w:r w:rsidRPr="00D5257C">
        <w:rPr>
          <w:rFonts w:asciiTheme="minorHAnsi" w:hAnsiTheme="minorHAnsi" w:cstheme="minorHAnsi"/>
          <w:i/>
        </w:rPr>
        <w:t>osnovu</w:t>
      </w:r>
      <w:proofErr w:type="spellEnd"/>
      <w:r w:rsidRPr="00D5257C">
        <w:rPr>
          <w:rFonts w:asciiTheme="minorHAnsi" w:hAnsiTheme="minorHAnsi" w:cstheme="minorHAnsi"/>
          <w:i/>
        </w:rPr>
        <w:t xml:space="preserve"> </w:t>
      </w:r>
      <w:proofErr w:type="spellStart"/>
      <w:r w:rsidRPr="00D5257C">
        <w:rPr>
          <w:rFonts w:asciiTheme="minorHAnsi" w:hAnsiTheme="minorHAnsi" w:cstheme="minorHAnsi"/>
          <w:i/>
        </w:rPr>
        <w:t>Direktive</w:t>
      </w:r>
      <w:proofErr w:type="spellEnd"/>
      <w:r w:rsidRPr="00D5257C">
        <w:rPr>
          <w:rFonts w:asciiTheme="minorHAnsi" w:hAnsiTheme="minorHAnsi" w:cstheme="minorHAnsi"/>
          <w:i/>
        </w:rPr>
        <w:t xml:space="preserve"> 2010/75/EU </w:t>
      </w:r>
      <w:proofErr w:type="spellStart"/>
      <w:r w:rsidRPr="00D5257C">
        <w:rPr>
          <w:rFonts w:asciiTheme="minorHAnsi" w:hAnsiTheme="minorHAnsi" w:cstheme="minorHAnsi"/>
          <w:i/>
        </w:rPr>
        <w:t>ili</w:t>
      </w:r>
      <w:proofErr w:type="spellEnd"/>
      <w:r w:rsidRPr="00D5257C">
        <w:rPr>
          <w:rFonts w:asciiTheme="minorHAnsi" w:hAnsiTheme="minorHAnsi" w:cstheme="minorHAnsi"/>
          <w:i/>
        </w:rPr>
        <w:t xml:space="preserve"> </w:t>
      </w:r>
      <w:proofErr w:type="spellStart"/>
      <w:r w:rsidRPr="00D5257C">
        <w:rPr>
          <w:rFonts w:asciiTheme="minorHAnsi" w:hAnsiTheme="minorHAnsi" w:cstheme="minorHAnsi"/>
          <w:i/>
        </w:rPr>
        <w:t>drugih</w:t>
      </w:r>
      <w:proofErr w:type="spellEnd"/>
      <w:r w:rsidRPr="00D5257C">
        <w:rPr>
          <w:rFonts w:asciiTheme="minorHAnsi" w:hAnsiTheme="minorHAnsi" w:cstheme="minorHAnsi"/>
          <w:i/>
        </w:rPr>
        <w:t xml:space="preserve"> </w:t>
      </w:r>
      <w:proofErr w:type="spellStart"/>
      <w:r w:rsidRPr="00D5257C">
        <w:rPr>
          <w:rFonts w:asciiTheme="minorHAnsi" w:hAnsiTheme="minorHAnsi" w:cstheme="minorHAnsi"/>
          <w:i/>
        </w:rPr>
        <w:t>važećih</w:t>
      </w:r>
      <w:proofErr w:type="spellEnd"/>
      <w:r w:rsidRPr="00D5257C">
        <w:rPr>
          <w:rFonts w:asciiTheme="minorHAnsi" w:hAnsiTheme="minorHAnsi" w:cstheme="minorHAnsi"/>
          <w:i/>
        </w:rPr>
        <w:t xml:space="preserve"> </w:t>
      </w:r>
      <w:proofErr w:type="spellStart"/>
      <w:r w:rsidRPr="00D5257C">
        <w:rPr>
          <w:rFonts w:asciiTheme="minorHAnsi" w:hAnsiTheme="minorHAnsi" w:cstheme="minorHAnsi"/>
          <w:i/>
        </w:rPr>
        <w:t>direktiva</w:t>
      </w:r>
      <w:proofErr w:type="spellEnd"/>
      <w:r w:rsidRPr="00D5257C">
        <w:rPr>
          <w:rFonts w:asciiTheme="minorHAnsi" w:hAnsiTheme="minorHAnsi" w:cstheme="minorHAnsi"/>
          <w:i/>
        </w:rPr>
        <w:t xml:space="preserve">, </w:t>
      </w:r>
      <w:proofErr w:type="spellStart"/>
      <w:r w:rsidRPr="00D5257C">
        <w:rPr>
          <w:rFonts w:asciiTheme="minorHAnsi" w:hAnsiTheme="minorHAnsi" w:cstheme="minorHAnsi"/>
          <w:i/>
        </w:rPr>
        <w:t>ti</w:t>
      </w:r>
      <w:proofErr w:type="spellEnd"/>
      <w:r w:rsidRPr="00D5257C">
        <w:rPr>
          <w:rFonts w:asciiTheme="minorHAnsi" w:hAnsiTheme="minorHAnsi" w:cstheme="minorHAnsi"/>
          <w:i/>
        </w:rPr>
        <w:t xml:space="preserve"> </w:t>
      </w:r>
      <w:proofErr w:type="spellStart"/>
      <w:r w:rsidRPr="00D5257C">
        <w:rPr>
          <w:rFonts w:asciiTheme="minorHAnsi" w:hAnsiTheme="minorHAnsi" w:cstheme="minorHAnsi"/>
          <w:i/>
        </w:rPr>
        <w:t>nivoi</w:t>
      </w:r>
      <w:proofErr w:type="spellEnd"/>
      <w:r w:rsidRPr="00D5257C">
        <w:rPr>
          <w:rFonts w:asciiTheme="minorHAnsi" w:hAnsiTheme="minorHAnsi" w:cstheme="minorHAnsi"/>
          <w:i/>
        </w:rPr>
        <w:t xml:space="preserve"> </w:t>
      </w:r>
      <w:proofErr w:type="spellStart"/>
      <w:r w:rsidRPr="00D5257C">
        <w:rPr>
          <w:rFonts w:asciiTheme="minorHAnsi" w:hAnsiTheme="minorHAnsi" w:cstheme="minorHAnsi"/>
          <w:i/>
        </w:rPr>
        <w:t>će</w:t>
      </w:r>
      <w:proofErr w:type="spellEnd"/>
      <w:r w:rsidRPr="00D5257C">
        <w:rPr>
          <w:rFonts w:asciiTheme="minorHAnsi" w:hAnsiTheme="minorHAnsi" w:cstheme="minorHAnsi"/>
          <w:i/>
        </w:rPr>
        <w:t xml:space="preserve"> se </w:t>
      </w:r>
      <w:proofErr w:type="spellStart"/>
      <w:r w:rsidRPr="00D5257C">
        <w:rPr>
          <w:rFonts w:asciiTheme="minorHAnsi" w:hAnsiTheme="minorHAnsi" w:cstheme="minorHAnsi"/>
          <w:i/>
        </w:rPr>
        <w:t>primjenjivati</w:t>
      </w:r>
      <w:proofErr w:type="spellEnd"/>
      <w:r w:rsidRPr="00D5257C">
        <w:rPr>
          <w:rFonts w:asciiTheme="minorHAnsi" w:hAnsiTheme="minorHAnsi" w:cstheme="minorHAnsi"/>
          <w:i/>
        </w:rPr>
        <w:t xml:space="preserve"> za </w:t>
      </w:r>
      <w:proofErr w:type="spellStart"/>
      <w:r w:rsidRPr="00D5257C">
        <w:rPr>
          <w:rFonts w:asciiTheme="minorHAnsi" w:hAnsiTheme="minorHAnsi" w:cstheme="minorHAnsi"/>
          <w:i/>
        </w:rPr>
        <w:t>potrebe</w:t>
      </w:r>
      <w:proofErr w:type="spellEnd"/>
      <w:r w:rsidRPr="00D5257C">
        <w:rPr>
          <w:rFonts w:asciiTheme="minorHAnsi" w:hAnsiTheme="minorHAnsi" w:cstheme="minorHAnsi"/>
          <w:i/>
        </w:rPr>
        <w:t xml:space="preserve"> </w:t>
      </w:r>
      <w:proofErr w:type="spellStart"/>
      <w:r w:rsidRPr="00D5257C">
        <w:rPr>
          <w:rFonts w:asciiTheme="minorHAnsi" w:hAnsiTheme="minorHAnsi" w:cstheme="minorHAnsi"/>
          <w:i/>
        </w:rPr>
        <w:t>ovih</w:t>
      </w:r>
      <w:proofErr w:type="spellEnd"/>
      <w:r w:rsidRPr="00D5257C">
        <w:rPr>
          <w:rFonts w:asciiTheme="minorHAnsi" w:hAnsiTheme="minorHAnsi" w:cstheme="minorHAnsi"/>
          <w:i/>
        </w:rPr>
        <w:t xml:space="preserve"> </w:t>
      </w:r>
      <w:proofErr w:type="spellStart"/>
      <w:r w:rsidRPr="00D5257C">
        <w:rPr>
          <w:rFonts w:asciiTheme="minorHAnsi" w:hAnsiTheme="minorHAnsi" w:cstheme="minorHAnsi"/>
          <w:i/>
        </w:rPr>
        <w:t>Smjernica</w:t>
      </w:r>
      <w:proofErr w:type="spellEnd"/>
      <w:r w:rsidRPr="00D5257C">
        <w:rPr>
          <w:rFonts w:asciiTheme="minorHAnsi" w:hAnsiTheme="minorHAnsi" w:cstheme="minorHAnsi"/>
          <w:i/>
        </w:rPr>
        <w:t xml:space="preserve">; </w:t>
      </w:r>
      <w:proofErr w:type="spellStart"/>
      <w:r w:rsidRPr="00D5257C">
        <w:rPr>
          <w:rFonts w:asciiTheme="minorHAnsi" w:hAnsiTheme="minorHAnsi" w:cstheme="minorHAnsi"/>
          <w:i/>
        </w:rPr>
        <w:t>ako</w:t>
      </w:r>
      <w:proofErr w:type="spellEnd"/>
      <w:r w:rsidRPr="00D5257C">
        <w:rPr>
          <w:rFonts w:asciiTheme="minorHAnsi" w:hAnsiTheme="minorHAnsi" w:cstheme="minorHAnsi"/>
          <w:i/>
        </w:rPr>
        <w:t xml:space="preserve"> </w:t>
      </w:r>
      <w:proofErr w:type="spellStart"/>
      <w:r w:rsidRPr="00D5257C">
        <w:rPr>
          <w:rFonts w:asciiTheme="minorHAnsi" w:hAnsiTheme="minorHAnsi" w:cstheme="minorHAnsi"/>
          <w:i/>
        </w:rPr>
        <w:t>su</w:t>
      </w:r>
      <w:proofErr w:type="spellEnd"/>
      <w:r w:rsidRPr="00D5257C">
        <w:rPr>
          <w:rFonts w:asciiTheme="minorHAnsi" w:hAnsiTheme="minorHAnsi" w:cstheme="minorHAnsi"/>
          <w:i/>
        </w:rPr>
        <w:t xml:space="preserve"> </w:t>
      </w:r>
      <w:proofErr w:type="spellStart"/>
      <w:r w:rsidRPr="00D5257C">
        <w:rPr>
          <w:rFonts w:asciiTheme="minorHAnsi" w:hAnsiTheme="minorHAnsi" w:cstheme="minorHAnsi"/>
          <w:i/>
        </w:rPr>
        <w:t>ti</w:t>
      </w:r>
      <w:proofErr w:type="spellEnd"/>
      <w:r w:rsidRPr="00D5257C">
        <w:rPr>
          <w:rFonts w:asciiTheme="minorHAnsi" w:hAnsiTheme="minorHAnsi" w:cstheme="minorHAnsi"/>
          <w:i/>
        </w:rPr>
        <w:t xml:space="preserve"> </w:t>
      </w:r>
      <w:proofErr w:type="spellStart"/>
      <w:r w:rsidRPr="00D5257C">
        <w:rPr>
          <w:rFonts w:asciiTheme="minorHAnsi" w:hAnsiTheme="minorHAnsi" w:cstheme="minorHAnsi"/>
          <w:i/>
        </w:rPr>
        <w:t>nivoi</w:t>
      </w:r>
      <w:proofErr w:type="spellEnd"/>
      <w:r w:rsidRPr="00D5257C">
        <w:rPr>
          <w:rFonts w:asciiTheme="minorHAnsi" w:hAnsiTheme="minorHAnsi" w:cstheme="minorHAnsi"/>
          <w:i/>
        </w:rPr>
        <w:t xml:space="preserve"> </w:t>
      </w:r>
      <w:proofErr w:type="spellStart"/>
      <w:r w:rsidRPr="00D5257C">
        <w:rPr>
          <w:rFonts w:asciiTheme="minorHAnsi" w:hAnsiTheme="minorHAnsi" w:cstheme="minorHAnsi"/>
          <w:i/>
        </w:rPr>
        <w:t>izraženi</w:t>
      </w:r>
      <w:proofErr w:type="spellEnd"/>
      <w:r w:rsidRPr="00D5257C">
        <w:rPr>
          <w:rFonts w:asciiTheme="minorHAnsi" w:hAnsiTheme="minorHAnsi" w:cstheme="minorHAnsi"/>
          <w:i/>
        </w:rPr>
        <w:t xml:space="preserve"> </w:t>
      </w:r>
      <w:proofErr w:type="spellStart"/>
      <w:r w:rsidRPr="00D5257C">
        <w:rPr>
          <w:rFonts w:asciiTheme="minorHAnsi" w:hAnsiTheme="minorHAnsi" w:cstheme="minorHAnsi"/>
          <w:i/>
        </w:rPr>
        <w:t>kao</w:t>
      </w:r>
      <w:proofErr w:type="spellEnd"/>
      <w:r w:rsidRPr="00D5257C">
        <w:rPr>
          <w:rFonts w:asciiTheme="minorHAnsi" w:hAnsiTheme="minorHAnsi" w:cstheme="minorHAnsi"/>
          <w:i/>
        </w:rPr>
        <w:t xml:space="preserve"> </w:t>
      </w:r>
      <w:proofErr w:type="spellStart"/>
      <w:r w:rsidRPr="00D5257C">
        <w:rPr>
          <w:rFonts w:asciiTheme="minorHAnsi" w:hAnsiTheme="minorHAnsi" w:cstheme="minorHAnsi"/>
          <w:i/>
        </w:rPr>
        <w:t>raspon</w:t>
      </w:r>
      <w:proofErr w:type="spellEnd"/>
      <w:r w:rsidRPr="00D5257C">
        <w:rPr>
          <w:rFonts w:asciiTheme="minorHAnsi" w:hAnsiTheme="minorHAnsi" w:cstheme="minorHAnsi"/>
          <w:i/>
        </w:rPr>
        <w:t xml:space="preserve">, </w:t>
      </w:r>
      <w:proofErr w:type="spellStart"/>
      <w:r w:rsidRPr="00D5257C">
        <w:rPr>
          <w:rFonts w:asciiTheme="minorHAnsi" w:hAnsiTheme="minorHAnsi" w:cstheme="minorHAnsi"/>
          <w:i/>
        </w:rPr>
        <w:t>primjenjivaće</w:t>
      </w:r>
      <w:proofErr w:type="spellEnd"/>
      <w:r w:rsidRPr="00D5257C">
        <w:rPr>
          <w:rFonts w:asciiTheme="minorHAnsi" w:hAnsiTheme="minorHAnsi" w:cstheme="minorHAnsi"/>
          <w:i/>
        </w:rPr>
        <w:t xml:space="preserve"> se </w:t>
      </w:r>
      <w:proofErr w:type="spellStart"/>
      <w:r w:rsidRPr="00D5257C">
        <w:rPr>
          <w:rFonts w:asciiTheme="minorHAnsi" w:hAnsiTheme="minorHAnsi" w:cstheme="minorHAnsi"/>
          <w:i/>
        </w:rPr>
        <w:t>granična</w:t>
      </w:r>
      <w:proofErr w:type="spellEnd"/>
      <w:r w:rsidRPr="00D5257C">
        <w:rPr>
          <w:rFonts w:asciiTheme="minorHAnsi" w:hAnsiTheme="minorHAnsi" w:cstheme="minorHAnsi"/>
          <w:i/>
        </w:rPr>
        <w:t xml:space="preserve"> </w:t>
      </w:r>
      <w:proofErr w:type="spellStart"/>
      <w:r w:rsidRPr="00D5257C">
        <w:rPr>
          <w:rFonts w:asciiTheme="minorHAnsi" w:hAnsiTheme="minorHAnsi" w:cstheme="minorHAnsi"/>
          <w:i/>
        </w:rPr>
        <w:t>vrijednost</w:t>
      </w:r>
      <w:proofErr w:type="spellEnd"/>
      <w:r w:rsidRPr="00D5257C">
        <w:rPr>
          <w:rFonts w:asciiTheme="minorHAnsi" w:hAnsiTheme="minorHAnsi" w:cstheme="minorHAnsi"/>
          <w:i/>
        </w:rPr>
        <w:t xml:space="preserve"> </w:t>
      </w:r>
      <w:proofErr w:type="spellStart"/>
      <w:r w:rsidRPr="00D5257C">
        <w:rPr>
          <w:rFonts w:asciiTheme="minorHAnsi" w:hAnsiTheme="minorHAnsi" w:cstheme="minorHAnsi"/>
          <w:i/>
        </w:rPr>
        <w:t>koju</w:t>
      </w:r>
      <w:proofErr w:type="spellEnd"/>
      <w:r w:rsidRPr="00D5257C">
        <w:rPr>
          <w:rFonts w:asciiTheme="minorHAnsi" w:hAnsiTheme="minorHAnsi" w:cstheme="minorHAnsi"/>
          <w:i/>
        </w:rPr>
        <w:t xml:space="preserve"> je BAT </w:t>
      </w:r>
      <w:proofErr w:type="spellStart"/>
      <w:r w:rsidRPr="00D5257C">
        <w:rPr>
          <w:rFonts w:asciiTheme="minorHAnsi" w:hAnsiTheme="minorHAnsi" w:cstheme="minorHAnsi"/>
          <w:i/>
        </w:rPr>
        <w:t>prvo</w:t>
      </w:r>
      <w:proofErr w:type="spellEnd"/>
      <w:r w:rsidRPr="00D5257C">
        <w:rPr>
          <w:rFonts w:asciiTheme="minorHAnsi" w:hAnsiTheme="minorHAnsi" w:cstheme="minorHAnsi"/>
          <w:i/>
        </w:rPr>
        <w:t xml:space="preserve"> </w:t>
      </w:r>
      <w:proofErr w:type="spellStart"/>
      <w:r w:rsidRPr="00D5257C">
        <w:rPr>
          <w:rFonts w:asciiTheme="minorHAnsi" w:hAnsiTheme="minorHAnsi" w:cstheme="minorHAnsi"/>
          <w:i/>
        </w:rPr>
        <w:t>postigla</w:t>
      </w:r>
      <w:proofErr w:type="spellEnd"/>
      <w:r w:rsidRPr="00D5257C">
        <w:rPr>
          <w:rFonts w:asciiTheme="minorHAnsi" w:hAnsiTheme="minorHAnsi" w:cstheme="minorHAnsi"/>
          <w:i/>
        </w:rPr>
        <w:t xml:space="preserve"> za </w:t>
      </w:r>
      <w:proofErr w:type="spellStart"/>
      <w:r w:rsidRPr="00D5257C">
        <w:rPr>
          <w:rFonts w:asciiTheme="minorHAnsi" w:hAnsiTheme="minorHAnsi" w:cstheme="minorHAnsi"/>
          <w:i/>
        </w:rPr>
        <w:t>predmetno</w:t>
      </w:r>
      <w:proofErr w:type="spellEnd"/>
      <w:r w:rsidRPr="00D5257C">
        <w:rPr>
          <w:rFonts w:asciiTheme="minorHAnsi" w:hAnsiTheme="minorHAnsi" w:cstheme="minorHAnsi"/>
          <w:i/>
        </w:rPr>
        <w:t xml:space="preserve"> </w:t>
      </w:r>
      <w:proofErr w:type="spellStart"/>
      <w:r w:rsidRPr="00D5257C">
        <w:rPr>
          <w:rFonts w:asciiTheme="minorHAnsi" w:hAnsiTheme="minorHAnsi" w:cstheme="minorHAnsi"/>
          <w:i/>
        </w:rPr>
        <w:t>privredno</w:t>
      </w:r>
      <w:proofErr w:type="spellEnd"/>
      <w:r w:rsidRPr="00D5257C">
        <w:rPr>
          <w:rFonts w:asciiTheme="minorHAnsi" w:hAnsiTheme="minorHAnsi" w:cstheme="minorHAnsi"/>
          <w:i/>
        </w:rPr>
        <w:t xml:space="preserve"> </w:t>
      </w:r>
      <w:proofErr w:type="spellStart"/>
      <w:r w:rsidRPr="00D5257C">
        <w:rPr>
          <w:rFonts w:asciiTheme="minorHAnsi" w:hAnsiTheme="minorHAnsi" w:cstheme="minorHAnsi"/>
          <w:i/>
        </w:rPr>
        <w:t>društvo</w:t>
      </w:r>
      <w:proofErr w:type="spellEnd"/>
      <w:r w:rsidRPr="00D5257C">
        <w:rPr>
          <w:rFonts w:asciiTheme="minorHAnsi" w:hAnsiTheme="minorHAnsi" w:cstheme="minorHAnsi"/>
          <w:i/>
        </w:rPr>
        <w:t>”.</w:t>
      </w:r>
    </w:p>
  </w:footnote>
  <w:footnote w:id="8">
    <w:p w14:paraId="7DEE21B9" w14:textId="77777777" w:rsidR="00C9629B" w:rsidRPr="00375A2A" w:rsidRDefault="00C9629B" w:rsidP="00C9629B">
      <w:pPr>
        <w:pStyle w:val="FootnoteText"/>
        <w:spacing w:before="0"/>
        <w:ind w:left="0" w:firstLine="0"/>
        <w:contextualSpacing/>
        <w:rPr>
          <w:rFonts w:asciiTheme="minorHAnsi" w:hAnsiTheme="minorHAnsi" w:cstheme="minorHAnsi"/>
        </w:rPr>
      </w:pPr>
      <w:r w:rsidRPr="00375A2A">
        <w:rPr>
          <w:rStyle w:val="FootnoteReference"/>
          <w:rFonts w:asciiTheme="minorHAnsi" w:hAnsiTheme="minorHAnsi" w:cstheme="minorHAnsi"/>
        </w:rPr>
        <w:footnoteRef/>
      </w:r>
      <w:r>
        <w:rPr>
          <w:rFonts w:asciiTheme="minorHAnsi" w:hAnsiTheme="minorHAnsi" w:cstheme="minorHAnsi"/>
        </w:rPr>
        <w:t xml:space="preserve"> </w:t>
      </w:r>
      <w:proofErr w:type="spellStart"/>
      <w:r w:rsidRPr="00375A2A">
        <w:rPr>
          <w:rFonts w:asciiTheme="minorHAnsi" w:hAnsiTheme="minorHAnsi" w:cstheme="minorHAnsi"/>
        </w:rPr>
        <w:t>Analiza</w:t>
      </w:r>
      <w:proofErr w:type="spellEnd"/>
      <w:r w:rsidRPr="00375A2A">
        <w:rPr>
          <w:rFonts w:asciiTheme="minorHAnsi" w:hAnsiTheme="minorHAnsi" w:cstheme="minorHAnsi"/>
        </w:rPr>
        <w:t xml:space="preserve"> se, </w:t>
      </w:r>
      <w:proofErr w:type="spellStart"/>
      <w:r w:rsidRPr="00375A2A">
        <w:rPr>
          <w:rFonts w:asciiTheme="minorHAnsi" w:hAnsiTheme="minorHAnsi" w:cstheme="minorHAnsi"/>
        </w:rPr>
        <w:t>između</w:t>
      </w:r>
      <w:proofErr w:type="spellEnd"/>
      <w:r w:rsidRPr="00375A2A">
        <w:rPr>
          <w:rFonts w:asciiTheme="minorHAnsi" w:hAnsiTheme="minorHAnsi" w:cstheme="minorHAnsi"/>
        </w:rPr>
        <w:t xml:space="preserve"> </w:t>
      </w:r>
      <w:proofErr w:type="spellStart"/>
      <w:r w:rsidRPr="00375A2A">
        <w:rPr>
          <w:rFonts w:asciiTheme="minorHAnsi" w:hAnsiTheme="minorHAnsi" w:cstheme="minorHAnsi"/>
        </w:rPr>
        <w:t>ostalih</w:t>
      </w:r>
      <w:proofErr w:type="spellEnd"/>
      <w:r w:rsidRPr="00375A2A">
        <w:rPr>
          <w:rFonts w:asciiTheme="minorHAnsi" w:hAnsiTheme="minorHAnsi" w:cstheme="minorHAnsi"/>
        </w:rPr>
        <w:t xml:space="preserve"> </w:t>
      </w:r>
      <w:proofErr w:type="spellStart"/>
      <w:r w:rsidRPr="00375A2A">
        <w:rPr>
          <w:rFonts w:asciiTheme="minorHAnsi" w:hAnsiTheme="minorHAnsi" w:cstheme="minorHAnsi"/>
        </w:rPr>
        <w:t>faktora</w:t>
      </w:r>
      <w:proofErr w:type="spellEnd"/>
      <w:r w:rsidRPr="00375A2A">
        <w:rPr>
          <w:rFonts w:asciiTheme="minorHAnsi" w:hAnsiTheme="minorHAnsi" w:cstheme="minorHAnsi"/>
        </w:rPr>
        <w:t xml:space="preserve">, </w:t>
      </w:r>
      <w:proofErr w:type="spellStart"/>
      <w:r w:rsidRPr="00375A2A">
        <w:rPr>
          <w:rFonts w:asciiTheme="minorHAnsi" w:hAnsiTheme="minorHAnsi" w:cstheme="minorHAnsi"/>
        </w:rPr>
        <w:t>može</w:t>
      </w:r>
      <w:proofErr w:type="spellEnd"/>
      <w:r w:rsidRPr="00375A2A">
        <w:rPr>
          <w:rFonts w:asciiTheme="minorHAnsi" w:hAnsiTheme="minorHAnsi" w:cstheme="minorHAnsi"/>
        </w:rPr>
        <w:t xml:space="preserve"> </w:t>
      </w:r>
      <w:proofErr w:type="spellStart"/>
      <w:r w:rsidRPr="00375A2A">
        <w:rPr>
          <w:rFonts w:asciiTheme="minorHAnsi" w:hAnsiTheme="minorHAnsi" w:cstheme="minorHAnsi"/>
        </w:rPr>
        <w:t>sprovesti</w:t>
      </w:r>
      <w:proofErr w:type="spellEnd"/>
      <w:r w:rsidRPr="00375A2A">
        <w:rPr>
          <w:rFonts w:asciiTheme="minorHAnsi" w:hAnsiTheme="minorHAnsi" w:cstheme="minorHAnsi"/>
        </w:rPr>
        <w:t xml:space="preserve"> </w:t>
      </w:r>
      <w:proofErr w:type="spellStart"/>
      <w:r w:rsidRPr="00375A2A">
        <w:rPr>
          <w:rFonts w:asciiTheme="minorHAnsi" w:hAnsiTheme="minorHAnsi" w:cstheme="minorHAnsi"/>
        </w:rPr>
        <w:t>na</w:t>
      </w:r>
      <w:proofErr w:type="spellEnd"/>
      <w:r w:rsidRPr="00375A2A">
        <w:rPr>
          <w:rFonts w:asciiTheme="minorHAnsi" w:hAnsiTheme="minorHAnsi" w:cstheme="minorHAnsi"/>
        </w:rPr>
        <w:t xml:space="preserve"> </w:t>
      </w:r>
      <w:proofErr w:type="spellStart"/>
      <w:r w:rsidRPr="00375A2A">
        <w:rPr>
          <w:rFonts w:asciiTheme="minorHAnsi" w:hAnsiTheme="minorHAnsi" w:cstheme="minorHAnsi"/>
        </w:rPr>
        <w:t>osnovu</w:t>
      </w:r>
      <w:proofErr w:type="spellEnd"/>
      <w:r w:rsidRPr="00375A2A">
        <w:rPr>
          <w:rFonts w:asciiTheme="minorHAnsi" w:hAnsiTheme="minorHAnsi" w:cstheme="minorHAnsi"/>
        </w:rPr>
        <w:t xml:space="preserve"> </w:t>
      </w:r>
      <w:proofErr w:type="spellStart"/>
      <w:r w:rsidRPr="00375A2A">
        <w:rPr>
          <w:rFonts w:asciiTheme="minorHAnsi" w:hAnsiTheme="minorHAnsi" w:cstheme="minorHAnsi"/>
        </w:rPr>
        <w:t>cjenovne</w:t>
      </w:r>
      <w:proofErr w:type="spellEnd"/>
      <w:r w:rsidRPr="00375A2A">
        <w:rPr>
          <w:rFonts w:asciiTheme="minorHAnsi" w:hAnsiTheme="minorHAnsi" w:cstheme="minorHAnsi"/>
        </w:rPr>
        <w:t xml:space="preserve"> </w:t>
      </w:r>
      <w:proofErr w:type="spellStart"/>
      <w:r w:rsidRPr="00375A2A">
        <w:rPr>
          <w:rFonts w:asciiTheme="minorHAnsi" w:hAnsiTheme="minorHAnsi" w:cstheme="minorHAnsi"/>
        </w:rPr>
        <w:t>elastičnosti</w:t>
      </w:r>
      <w:proofErr w:type="spellEnd"/>
      <w:r w:rsidRPr="00375A2A">
        <w:rPr>
          <w:rFonts w:asciiTheme="minorHAnsi" w:hAnsiTheme="minorHAnsi" w:cstheme="minorHAnsi"/>
        </w:rPr>
        <w:t xml:space="preserve"> </w:t>
      </w:r>
      <w:proofErr w:type="spellStart"/>
      <w:r w:rsidRPr="00375A2A">
        <w:rPr>
          <w:rFonts w:asciiTheme="minorHAnsi" w:hAnsiTheme="minorHAnsi" w:cstheme="minorHAnsi"/>
        </w:rPr>
        <w:t>proizvoda</w:t>
      </w:r>
      <w:proofErr w:type="spellEnd"/>
      <w:r w:rsidRPr="00375A2A">
        <w:rPr>
          <w:rFonts w:asciiTheme="minorHAnsi" w:hAnsiTheme="minorHAnsi" w:cstheme="minorHAnsi"/>
        </w:rPr>
        <w:t xml:space="preserve"> u </w:t>
      </w:r>
      <w:proofErr w:type="spellStart"/>
      <w:r w:rsidRPr="00375A2A">
        <w:rPr>
          <w:rFonts w:asciiTheme="minorHAnsi" w:hAnsiTheme="minorHAnsi" w:cstheme="minorHAnsi"/>
        </w:rPr>
        <w:t>predmetnom</w:t>
      </w:r>
      <w:proofErr w:type="spellEnd"/>
      <w:r w:rsidRPr="00375A2A">
        <w:rPr>
          <w:rFonts w:asciiTheme="minorHAnsi" w:hAnsiTheme="minorHAnsi" w:cstheme="minorHAnsi"/>
        </w:rPr>
        <w:t xml:space="preserve"> </w:t>
      </w:r>
      <w:proofErr w:type="spellStart"/>
      <w:r w:rsidRPr="00375A2A">
        <w:rPr>
          <w:rFonts w:asciiTheme="minorHAnsi" w:hAnsiTheme="minorHAnsi" w:cstheme="minorHAnsi"/>
        </w:rPr>
        <w:t>sektoru</w:t>
      </w:r>
      <w:proofErr w:type="spellEnd"/>
      <w:r w:rsidRPr="00375A2A">
        <w:rPr>
          <w:rFonts w:asciiTheme="minorHAnsi" w:hAnsiTheme="minorHAnsi" w:cstheme="minorHAnsi"/>
        </w:rPr>
        <w:t xml:space="preserve">,  </w:t>
      </w:r>
      <w:proofErr w:type="spellStart"/>
      <w:r w:rsidRPr="00375A2A">
        <w:rPr>
          <w:rFonts w:asciiTheme="minorHAnsi" w:hAnsiTheme="minorHAnsi" w:cstheme="minorHAnsi"/>
        </w:rPr>
        <w:t>kao</w:t>
      </w:r>
      <w:proofErr w:type="spellEnd"/>
      <w:r w:rsidRPr="00375A2A">
        <w:rPr>
          <w:rFonts w:asciiTheme="minorHAnsi" w:hAnsiTheme="minorHAnsi" w:cstheme="minorHAnsi"/>
        </w:rPr>
        <w:t xml:space="preserve"> i </w:t>
      </w:r>
      <w:proofErr w:type="spellStart"/>
      <w:r w:rsidRPr="00375A2A">
        <w:rPr>
          <w:rFonts w:asciiTheme="minorHAnsi" w:hAnsiTheme="minorHAnsi" w:cstheme="minorHAnsi"/>
        </w:rPr>
        <w:t>procjene</w:t>
      </w:r>
      <w:proofErr w:type="spellEnd"/>
      <w:r w:rsidRPr="00375A2A">
        <w:rPr>
          <w:rFonts w:asciiTheme="minorHAnsi" w:hAnsiTheme="minorHAnsi" w:cstheme="minorHAnsi"/>
        </w:rPr>
        <w:t xml:space="preserve"> </w:t>
      </w:r>
      <w:proofErr w:type="spellStart"/>
      <w:r w:rsidRPr="00375A2A">
        <w:rPr>
          <w:rFonts w:asciiTheme="minorHAnsi" w:hAnsiTheme="minorHAnsi" w:cstheme="minorHAnsi"/>
        </w:rPr>
        <w:t>izgubljene</w:t>
      </w:r>
      <w:proofErr w:type="spellEnd"/>
      <w:r w:rsidRPr="00375A2A">
        <w:rPr>
          <w:rFonts w:asciiTheme="minorHAnsi" w:hAnsiTheme="minorHAnsi" w:cstheme="minorHAnsi"/>
        </w:rPr>
        <w:t xml:space="preserve"> </w:t>
      </w:r>
      <w:proofErr w:type="spellStart"/>
      <w:r w:rsidRPr="00375A2A">
        <w:rPr>
          <w:rFonts w:asciiTheme="minorHAnsi" w:hAnsiTheme="minorHAnsi" w:cstheme="minorHAnsi"/>
        </w:rPr>
        <w:t>prodaje</w:t>
      </w:r>
      <w:proofErr w:type="spellEnd"/>
      <w:r w:rsidRPr="00375A2A">
        <w:rPr>
          <w:rFonts w:asciiTheme="minorHAnsi" w:hAnsiTheme="minorHAnsi" w:cstheme="minorHAnsi"/>
        </w:rPr>
        <w:t xml:space="preserve"> i </w:t>
      </w:r>
      <w:proofErr w:type="spellStart"/>
      <w:r w:rsidRPr="00375A2A">
        <w:rPr>
          <w:rFonts w:asciiTheme="minorHAnsi" w:hAnsiTheme="minorHAnsi" w:cstheme="minorHAnsi"/>
        </w:rPr>
        <w:t>njihovog</w:t>
      </w:r>
      <w:proofErr w:type="spellEnd"/>
      <w:r w:rsidRPr="00375A2A">
        <w:rPr>
          <w:rFonts w:asciiTheme="minorHAnsi" w:hAnsiTheme="minorHAnsi" w:cstheme="minorHAnsi"/>
        </w:rPr>
        <w:t xml:space="preserve"> </w:t>
      </w:r>
      <w:proofErr w:type="spellStart"/>
      <w:r w:rsidRPr="00375A2A">
        <w:rPr>
          <w:rFonts w:asciiTheme="minorHAnsi" w:hAnsiTheme="minorHAnsi" w:cstheme="minorHAnsi"/>
        </w:rPr>
        <w:t>učinka</w:t>
      </w:r>
      <w:proofErr w:type="spellEnd"/>
      <w:r w:rsidRPr="00375A2A">
        <w:rPr>
          <w:rFonts w:asciiTheme="minorHAnsi" w:hAnsiTheme="minorHAnsi" w:cstheme="minorHAnsi"/>
        </w:rPr>
        <w:t xml:space="preserve"> </w:t>
      </w:r>
      <w:proofErr w:type="spellStart"/>
      <w:r w:rsidRPr="00375A2A">
        <w:rPr>
          <w:rFonts w:asciiTheme="minorHAnsi" w:hAnsiTheme="minorHAnsi" w:cstheme="minorHAnsi"/>
        </w:rPr>
        <w:t>na</w:t>
      </w:r>
      <w:proofErr w:type="spellEnd"/>
      <w:r w:rsidRPr="00375A2A">
        <w:rPr>
          <w:rFonts w:asciiTheme="minorHAnsi" w:hAnsiTheme="minorHAnsi" w:cstheme="minorHAnsi"/>
        </w:rPr>
        <w:t xml:space="preserve"> </w:t>
      </w:r>
      <w:proofErr w:type="spellStart"/>
      <w:r w:rsidRPr="00375A2A">
        <w:rPr>
          <w:rFonts w:asciiTheme="minorHAnsi" w:hAnsiTheme="minorHAnsi" w:cstheme="minorHAnsi"/>
        </w:rPr>
        <w:t>profitabilnost</w:t>
      </w:r>
      <w:proofErr w:type="spellEnd"/>
      <w:r w:rsidRPr="00375A2A">
        <w:rPr>
          <w:rFonts w:asciiTheme="minorHAnsi" w:hAnsiTheme="minorHAnsi" w:cstheme="minorHAnsi"/>
        </w:rPr>
        <w:t xml:space="preserve"> </w:t>
      </w:r>
      <w:proofErr w:type="spellStart"/>
      <w:r w:rsidRPr="00375A2A">
        <w:rPr>
          <w:rFonts w:asciiTheme="minorHAnsi" w:hAnsiTheme="minorHAnsi" w:cstheme="minorHAnsi"/>
        </w:rPr>
        <w:t>korisnika</w:t>
      </w:r>
      <w:proofErr w:type="spellEnd"/>
      <w:r w:rsidRPr="00375A2A">
        <w:rPr>
          <w:rFonts w:asciiTheme="minorHAnsi" w:hAnsiTheme="minorHAnsi" w:cstheme="minorHAnsi"/>
        </w:rPr>
        <w:t>.</w:t>
      </w:r>
    </w:p>
  </w:footnote>
  <w:footnote w:id="9">
    <w:p w14:paraId="3390B3DD" w14:textId="77777777" w:rsidR="00C9629B" w:rsidRPr="00F80724" w:rsidRDefault="00C9629B" w:rsidP="00C9629B">
      <w:pPr>
        <w:pStyle w:val="FootnoteText"/>
        <w:spacing w:before="0"/>
        <w:ind w:left="0" w:firstLine="0"/>
        <w:contextualSpacing/>
        <w:rPr>
          <w:rFonts w:asciiTheme="minorHAnsi" w:hAnsiTheme="minorHAnsi" w:cstheme="minorHAnsi"/>
        </w:rPr>
      </w:pPr>
      <w:r w:rsidRPr="00F80724">
        <w:rPr>
          <w:rStyle w:val="FootnoteReference"/>
          <w:rFonts w:asciiTheme="minorHAnsi" w:hAnsiTheme="minorHAnsi" w:cstheme="minorHAnsi"/>
        </w:rPr>
        <w:footnoteRef/>
      </w:r>
      <w:r>
        <w:rPr>
          <w:rFonts w:asciiTheme="minorHAnsi" w:hAnsiTheme="minorHAnsi" w:cstheme="minorHAnsi"/>
        </w:rPr>
        <w:t xml:space="preserve"> </w:t>
      </w:r>
      <w:proofErr w:type="spellStart"/>
      <w:r w:rsidRPr="00F80724">
        <w:rPr>
          <w:rFonts w:asciiTheme="minorHAnsi" w:hAnsiTheme="minorHAnsi" w:cstheme="minorHAnsi"/>
        </w:rPr>
        <w:t>Te</w:t>
      </w:r>
      <w:proofErr w:type="spellEnd"/>
      <w:r w:rsidRPr="00F80724">
        <w:rPr>
          <w:rFonts w:asciiTheme="minorHAnsi" w:hAnsiTheme="minorHAnsi" w:cstheme="minorHAnsi"/>
        </w:rPr>
        <w:t xml:space="preserve"> bi se </w:t>
      </w:r>
      <w:proofErr w:type="spellStart"/>
      <w:r w:rsidRPr="00F80724">
        <w:rPr>
          <w:rFonts w:asciiTheme="minorHAnsi" w:hAnsiTheme="minorHAnsi" w:cstheme="minorHAnsi"/>
        </w:rPr>
        <w:t>osobine</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mogle</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na</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primjer</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dokazati</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na</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osnovi</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detaljnog</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opisa</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inovacije</w:t>
      </w:r>
      <w:proofErr w:type="spellEnd"/>
      <w:r w:rsidRPr="00F80724">
        <w:rPr>
          <w:rFonts w:asciiTheme="minorHAnsi" w:hAnsiTheme="minorHAnsi" w:cstheme="minorHAnsi"/>
        </w:rPr>
        <w:t xml:space="preserve"> i </w:t>
      </w:r>
      <w:proofErr w:type="spellStart"/>
      <w:r w:rsidRPr="00F80724">
        <w:rPr>
          <w:rFonts w:asciiTheme="minorHAnsi" w:hAnsiTheme="minorHAnsi" w:cstheme="minorHAnsi"/>
        </w:rPr>
        <w:t>tržišnih</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u</w:t>
      </w:r>
      <w:r>
        <w:rPr>
          <w:rFonts w:asciiTheme="minorHAnsi" w:hAnsiTheme="minorHAnsi" w:cstheme="minorHAnsi"/>
        </w:rPr>
        <w:t>slov</w:t>
      </w:r>
      <w:r w:rsidRPr="00F80724">
        <w:rPr>
          <w:rFonts w:asciiTheme="minorHAnsi" w:hAnsiTheme="minorHAnsi" w:cstheme="minorHAnsi"/>
        </w:rPr>
        <w:t>a</w:t>
      </w:r>
      <w:proofErr w:type="spellEnd"/>
      <w:r w:rsidRPr="00F80724">
        <w:rPr>
          <w:rFonts w:asciiTheme="minorHAnsi" w:hAnsiTheme="minorHAnsi" w:cstheme="minorHAnsi"/>
        </w:rPr>
        <w:t xml:space="preserve"> za </w:t>
      </w:r>
      <w:proofErr w:type="spellStart"/>
      <w:r w:rsidRPr="00F80724">
        <w:rPr>
          <w:rFonts w:asciiTheme="minorHAnsi" w:hAnsiTheme="minorHAnsi" w:cstheme="minorHAnsi"/>
        </w:rPr>
        <w:t>njeno</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uvođenje</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ili</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širenje</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upoređujući</w:t>
      </w:r>
      <w:proofErr w:type="spellEnd"/>
      <w:r w:rsidRPr="00F80724">
        <w:rPr>
          <w:rFonts w:asciiTheme="minorHAnsi" w:hAnsiTheme="minorHAnsi" w:cstheme="minorHAnsi"/>
        </w:rPr>
        <w:t xml:space="preserve"> je </w:t>
      </w:r>
      <w:proofErr w:type="spellStart"/>
      <w:r w:rsidRPr="001F38E2">
        <w:rPr>
          <w:rFonts w:asciiTheme="minorHAnsi" w:hAnsiTheme="minorHAnsi" w:cstheme="minorHAnsi"/>
        </w:rPr>
        <w:t>sa</w:t>
      </w:r>
      <w:proofErr w:type="spellEnd"/>
      <w:r w:rsidRPr="001F38E2">
        <w:rPr>
          <w:rFonts w:asciiTheme="minorHAnsi" w:hAnsiTheme="minorHAnsi" w:cstheme="minorHAnsi"/>
        </w:rPr>
        <w:t xml:space="preserve"> </w:t>
      </w:r>
      <w:proofErr w:type="spellStart"/>
      <w:r w:rsidRPr="001F38E2">
        <w:rPr>
          <w:rFonts w:asciiTheme="minorHAnsi" w:hAnsiTheme="minorHAnsi" w:cstheme="minorHAnsi"/>
        </w:rPr>
        <w:t>tehnološkim</w:t>
      </w:r>
      <w:proofErr w:type="spellEnd"/>
      <w:r w:rsidRPr="001F38E2">
        <w:rPr>
          <w:rFonts w:asciiTheme="minorHAnsi" w:hAnsiTheme="minorHAnsi" w:cstheme="minorHAnsi"/>
        </w:rPr>
        <w:t xml:space="preserve"> </w:t>
      </w:r>
      <w:proofErr w:type="spellStart"/>
      <w:r w:rsidRPr="001F38E2">
        <w:rPr>
          <w:rFonts w:asciiTheme="minorHAnsi" w:hAnsiTheme="minorHAnsi" w:cstheme="minorHAnsi"/>
        </w:rPr>
        <w:t>napretkom</w:t>
      </w:r>
      <w:proofErr w:type="spellEnd"/>
      <w:r w:rsidRPr="001F38E2">
        <w:rPr>
          <w:rFonts w:asciiTheme="minorHAnsi" w:hAnsiTheme="minorHAnsi" w:cstheme="minorHAnsi"/>
        </w:rPr>
        <w:t xml:space="preserve"> u </w:t>
      </w:r>
      <w:proofErr w:type="spellStart"/>
      <w:r w:rsidRPr="001F38E2">
        <w:rPr>
          <w:rFonts w:asciiTheme="minorHAnsi" w:hAnsiTheme="minorHAnsi" w:cstheme="minorHAnsi"/>
        </w:rPr>
        <w:t>procesima</w:t>
      </w:r>
      <w:proofErr w:type="spellEnd"/>
      <w:r w:rsidRPr="001F38E2">
        <w:rPr>
          <w:rFonts w:asciiTheme="minorHAnsi" w:hAnsiTheme="minorHAnsi" w:cstheme="minorHAnsi"/>
        </w:rPr>
        <w:t xml:space="preserve"> </w:t>
      </w:r>
      <w:proofErr w:type="spellStart"/>
      <w:r w:rsidRPr="001F38E2">
        <w:rPr>
          <w:rFonts w:asciiTheme="minorHAnsi" w:hAnsiTheme="minorHAnsi" w:cstheme="minorHAnsi"/>
        </w:rPr>
        <w:t>ili</w:t>
      </w:r>
      <w:proofErr w:type="spellEnd"/>
      <w:r w:rsidRPr="001F38E2">
        <w:rPr>
          <w:rFonts w:asciiTheme="minorHAnsi" w:hAnsiTheme="minorHAnsi" w:cstheme="minorHAnsi"/>
        </w:rPr>
        <w:t xml:space="preserve"> </w:t>
      </w:r>
      <w:proofErr w:type="spellStart"/>
      <w:r w:rsidRPr="001F38E2">
        <w:rPr>
          <w:rFonts w:asciiTheme="minorHAnsi" w:hAnsiTheme="minorHAnsi" w:cstheme="minorHAnsi"/>
        </w:rPr>
        <w:t>organizacionim</w:t>
      </w:r>
      <w:proofErr w:type="spellEnd"/>
      <w:r w:rsidRPr="001F38E2">
        <w:rPr>
          <w:rFonts w:asciiTheme="minorHAnsi" w:hAnsiTheme="minorHAnsi" w:cstheme="minorHAnsi"/>
        </w:rPr>
        <w:t xml:space="preserve"> </w:t>
      </w:r>
      <w:proofErr w:type="spellStart"/>
      <w:r w:rsidRPr="001F38E2">
        <w:rPr>
          <w:rFonts w:asciiTheme="minorHAnsi" w:hAnsiTheme="minorHAnsi" w:cstheme="minorHAnsi"/>
        </w:rPr>
        <w:t>tehnikama</w:t>
      </w:r>
      <w:proofErr w:type="spellEnd"/>
      <w:r w:rsidRPr="001F38E2">
        <w:rPr>
          <w:rFonts w:asciiTheme="minorHAnsi" w:hAnsiTheme="minorHAnsi" w:cstheme="minorHAnsi"/>
        </w:rPr>
        <w:t xml:space="preserve"> </w:t>
      </w:r>
      <w:proofErr w:type="spellStart"/>
      <w:r w:rsidRPr="001F38E2">
        <w:rPr>
          <w:rFonts w:asciiTheme="minorHAnsi" w:hAnsiTheme="minorHAnsi" w:cstheme="minorHAnsi"/>
        </w:rPr>
        <w:t>koje</w:t>
      </w:r>
      <w:proofErr w:type="spellEnd"/>
      <w:r w:rsidRPr="001F38E2">
        <w:rPr>
          <w:rFonts w:asciiTheme="minorHAnsi" w:hAnsiTheme="minorHAnsi" w:cstheme="minorHAnsi"/>
        </w:rPr>
        <w:t xml:space="preserve"> </w:t>
      </w:r>
      <w:proofErr w:type="spellStart"/>
      <w:r w:rsidRPr="001F38E2">
        <w:rPr>
          <w:rFonts w:asciiTheme="minorHAnsi" w:hAnsiTheme="minorHAnsi" w:cstheme="minorHAnsi"/>
        </w:rPr>
        <w:t>koriste</w:t>
      </w:r>
      <w:proofErr w:type="spellEnd"/>
      <w:r w:rsidRPr="001F38E2">
        <w:rPr>
          <w:rFonts w:asciiTheme="minorHAnsi" w:hAnsiTheme="minorHAnsi" w:cstheme="minorHAnsi"/>
        </w:rPr>
        <w:t xml:space="preserve"> </w:t>
      </w:r>
      <w:proofErr w:type="spellStart"/>
      <w:r w:rsidRPr="001F38E2">
        <w:rPr>
          <w:rFonts w:asciiTheme="minorHAnsi" w:hAnsiTheme="minorHAnsi" w:cstheme="minorHAnsi"/>
        </w:rPr>
        <w:t>druga</w:t>
      </w:r>
      <w:proofErr w:type="spellEnd"/>
      <w:r w:rsidRPr="001F38E2">
        <w:rPr>
          <w:rFonts w:asciiTheme="minorHAnsi" w:hAnsiTheme="minorHAnsi" w:cstheme="minorHAnsi"/>
        </w:rPr>
        <w:t xml:space="preserve"> </w:t>
      </w:r>
      <w:proofErr w:type="spellStart"/>
      <w:r w:rsidRPr="001F38E2">
        <w:rPr>
          <w:rFonts w:asciiTheme="minorHAnsi" w:hAnsiTheme="minorHAnsi" w:cstheme="minorHAnsi"/>
        </w:rPr>
        <w:t>preduzeća</w:t>
      </w:r>
      <w:proofErr w:type="spellEnd"/>
      <w:r w:rsidRPr="001F38E2">
        <w:rPr>
          <w:rFonts w:asciiTheme="minorHAnsi" w:hAnsiTheme="minorHAnsi" w:cstheme="minorHAnsi"/>
        </w:rPr>
        <w:t xml:space="preserve"> u </w:t>
      </w:r>
      <w:proofErr w:type="spellStart"/>
      <w:r w:rsidRPr="001F38E2">
        <w:rPr>
          <w:rFonts w:asciiTheme="minorHAnsi" w:hAnsiTheme="minorHAnsi" w:cstheme="minorHAnsi"/>
        </w:rPr>
        <w:t>istom</w:t>
      </w:r>
      <w:proofErr w:type="spellEnd"/>
      <w:r w:rsidRPr="001F38E2">
        <w:rPr>
          <w:rFonts w:asciiTheme="minorHAnsi" w:hAnsiTheme="minorHAnsi" w:cstheme="minorHAnsi"/>
        </w:rPr>
        <w:t xml:space="preserve"> </w:t>
      </w:r>
      <w:proofErr w:type="spellStart"/>
      <w:r w:rsidRPr="001F38E2">
        <w:rPr>
          <w:rFonts w:asciiTheme="minorHAnsi" w:hAnsiTheme="minorHAnsi" w:cstheme="minorHAnsi"/>
        </w:rPr>
        <w:t>industrijskom</w:t>
      </w:r>
      <w:proofErr w:type="spellEnd"/>
      <w:r w:rsidRPr="001F38E2">
        <w:rPr>
          <w:rFonts w:asciiTheme="minorHAnsi" w:hAnsiTheme="minorHAnsi" w:cstheme="minorHAnsi"/>
        </w:rPr>
        <w:t xml:space="preserve"> </w:t>
      </w:r>
      <w:proofErr w:type="spellStart"/>
      <w:r w:rsidRPr="001F38E2">
        <w:rPr>
          <w:rFonts w:asciiTheme="minorHAnsi" w:hAnsiTheme="minorHAnsi" w:cstheme="minorHAnsi"/>
        </w:rPr>
        <w:t>sektoru</w:t>
      </w:r>
      <w:proofErr w:type="spellEnd"/>
      <w:r w:rsidRPr="00F80724">
        <w:rPr>
          <w:rFonts w:asciiTheme="minorHAnsi" w:hAnsiTheme="minorHAnsi" w:cstheme="minorHAnsi"/>
        </w:rPr>
        <w:t>.</w:t>
      </w:r>
    </w:p>
  </w:footnote>
  <w:footnote w:id="10">
    <w:p w14:paraId="5150F04A" w14:textId="77777777" w:rsidR="00C9629B" w:rsidRPr="00F80724" w:rsidRDefault="00C9629B" w:rsidP="00C9629B">
      <w:pPr>
        <w:pStyle w:val="FootnoteText"/>
        <w:spacing w:before="0"/>
        <w:ind w:left="0" w:firstLine="0"/>
        <w:contextualSpacing/>
        <w:rPr>
          <w:rFonts w:asciiTheme="minorHAnsi" w:hAnsiTheme="minorHAnsi" w:cstheme="minorHAnsi"/>
        </w:rPr>
      </w:pPr>
      <w:r w:rsidRPr="00F80724">
        <w:rPr>
          <w:rStyle w:val="FootnoteReference"/>
          <w:rFonts w:asciiTheme="minorHAnsi" w:hAnsiTheme="minorHAnsi" w:cstheme="minorHAnsi"/>
        </w:rPr>
        <w:footnoteRef/>
      </w:r>
      <w:r>
        <w:rPr>
          <w:rFonts w:asciiTheme="minorHAnsi" w:hAnsiTheme="minorHAnsi" w:cstheme="minorHAnsi"/>
        </w:rPr>
        <w:t xml:space="preserve"> </w:t>
      </w:r>
      <w:proofErr w:type="spellStart"/>
      <w:r w:rsidRPr="00F80724">
        <w:rPr>
          <w:rFonts w:asciiTheme="minorHAnsi" w:hAnsiTheme="minorHAnsi" w:cstheme="minorHAnsi"/>
        </w:rPr>
        <w:t>Ako</w:t>
      </w:r>
      <w:proofErr w:type="spellEnd"/>
      <w:r w:rsidRPr="00F80724">
        <w:rPr>
          <w:rFonts w:asciiTheme="minorHAnsi" w:hAnsiTheme="minorHAnsi" w:cstheme="minorHAnsi"/>
        </w:rPr>
        <w:t xml:space="preserve"> se za </w:t>
      </w:r>
      <w:proofErr w:type="spellStart"/>
      <w:r>
        <w:rPr>
          <w:rFonts w:asciiTheme="minorHAnsi" w:hAnsiTheme="minorHAnsi" w:cstheme="minorHAnsi"/>
        </w:rPr>
        <w:t>poređenje</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ekološki</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inovativnih</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djelatnosti</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sa</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standardnim</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neinovativnim</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djelatnostima</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mogu</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upotrebljavati</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k</w:t>
      </w:r>
      <w:r>
        <w:rPr>
          <w:rFonts w:asciiTheme="minorHAnsi" w:hAnsiTheme="minorHAnsi" w:cstheme="minorHAnsi"/>
        </w:rPr>
        <w:t>vantitativni</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parametri</w:t>
      </w:r>
      <w:proofErr w:type="spellEnd"/>
      <w:r w:rsidRPr="00F80724">
        <w:rPr>
          <w:rFonts w:asciiTheme="minorHAnsi" w:hAnsiTheme="minorHAnsi" w:cstheme="minorHAnsi"/>
        </w:rPr>
        <w:t>, „</w:t>
      </w:r>
      <w:proofErr w:type="spellStart"/>
      <w:r w:rsidRPr="00F80724">
        <w:rPr>
          <w:rFonts w:asciiTheme="minorHAnsi" w:hAnsiTheme="minorHAnsi" w:cstheme="minorHAnsi"/>
        </w:rPr>
        <w:t>zna</w:t>
      </w:r>
      <w:r>
        <w:rPr>
          <w:rFonts w:asciiTheme="minorHAnsi" w:hAnsiTheme="minorHAnsi" w:cstheme="minorHAnsi"/>
        </w:rPr>
        <w:t>čajno</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v</w:t>
      </w:r>
      <w:r>
        <w:rPr>
          <w:rFonts w:asciiTheme="minorHAnsi" w:hAnsiTheme="minorHAnsi" w:cstheme="minorHAnsi"/>
        </w:rPr>
        <w:t>eći</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znači</w:t>
      </w:r>
      <w:proofErr w:type="spellEnd"/>
      <w:r w:rsidRPr="00F80724">
        <w:rPr>
          <w:rFonts w:asciiTheme="minorHAnsi" w:hAnsiTheme="minorHAnsi" w:cstheme="minorHAnsi"/>
        </w:rPr>
        <w:t xml:space="preserve"> da bi </w:t>
      </w:r>
      <w:proofErr w:type="spellStart"/>
      <w:r>
        <w:rPr>
          <w:rFonts w:asciiTheme="minorHAnsi" w:hAnsiTheme="minorHAnsi" w:cstheme="minorHAnsi"/>
        </w:rPr>
        <w:t>marginalno</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poboljšanje</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koje</w:t>
      </w:r>
      <w:proofErr w:type="spellEnd"/>
      <w:r w:rsidRPr="00F80724">
        <w:rPr>
          <w:rFonts w:asciiTheme="minorHAnsi" w:hAnsiTheme="minorHAnsi" w:cstheme="minorHAnsi"/>
        </w:rPr>
        <w:t xml:space="preserve"> se </w:t>
      </w:r>
      <w:proofErr w:type="spellStart"/>
      <w:r w:rsidRPr="00F80724">
        <w:rPr>
          <w:rFonts w:asciiTheme="minorHAnsi" w:hAnsiTheme="minorHAnsi" w:cstheme="minorHAnsi"/>
        </w:rPr>
        <w:t>očekuje</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od</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ekološki</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inovativnih</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djelatnosti</w:t>
      </w:r>
      <w:proofErr w:type="spellEnd"/>
      <w:r w:rsidRPr="00F80724">
        <w:rPr>
          <w:rFonts w:asciiTheme="minorHAnsi" w:hAnsiTheme="minorHAnsi" w:cstheme="minorHAnsi"/>
        </w:rPr>
        <w:t xml:space="preserve"> u </w:t>
      </w:r>
      <w:proofErr w:type="spellStart"/>
      <w:r w:rsidRPr="00F80724">
        <w:rPr>
          <w:rFonts w:asciiTheme="minorHAnsi" w:hAnsiTheme="minorHAnsi" w:cstheme="minorHAnsi"/>
        </w:rPr>
        <w:t>pogledu</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smanjenog</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ekološkog</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rizika</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ili</w:t>
      </w:r>
      <w:proofErr w:type="spellEnd"/>
      <w:r w:rsidRPr="00F80724">
        <w:rPr>
          <w:rFonts w:asciiTheme="minorHAnsi" w:hAnsiTheme="minorHAnsi" w:cstheme="minorHAnsi"/>
        </w:rPr>
        <w:t xml:space="preserve"> </w:t>
      </w:r>
      <w:proofErr w:type="spellStart"/>
      <w:r>
        <w:rPr>
          <w:rFonts w:asciiTheme="minorHAnsi" w:hAnsiTheme="minorHAnsi" w:cstheme="minorHAnsi"/>
        </w:rPr>
        <w:t>zagađenja</w:t>
      </w:r>
      <w:proofErr w:type="spellEnd"/>
      <w:r>
        <w:rPr>
          <w:rFonts w:asciiTheme="minorHAnsi" w:hAnsiTheme="minorHAnsi" w:cstheme="minorHAnsi"/>
        </w:rPr>
        <w:t xml:space="preserve"> </w:t>
      </w:r>
      <w:proofErr w:type="spellStart"/>
      <w:r>
        <w:rPr>
          <w:rFonts w:asciiTheme="minorHAnsi" w:hAnsiTheme="minorHAnsi" w:cstheme="minorHAnsi"/>
        </w:rPr>
        <w:t>životne</w:t>
      </w:r>
      <w:proofErr w:type="spellEnd"/>
      <w:r>
        <w:rPr>
          <w:rFonts w:asciiTheme="minorHAnsi" w:hAnsiTheme="minorHAnsi" w:cstheme="minorHAnsi"/>
        </w:rPr>
        <w:t xml:space="preserve"> </w:t>
      </w:r>
      <w:proofErr w:type="spellStart"/>
      <w:r>
        <w:rPr>
          <w:rFonts w:asciiTheme="minorHAnsi" w:hAnsiTheme="minorHAnsi" w:cstheme="minorHAnsi"/>
        </w:rPr>
        <w:t>sredine</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ili</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poboljšane</w:t>
      </w:r>
      <w:proofErr w:type="spellEnd"/>
      <w:r w:rsidRPr="00F80724">
        <w:rPr>
          <w:rFonts w:asciiTheme="minorHAnsi" w:hAnsiTheme="minorHAnsi" w:cstheme="minorHAnsi"/>
        </w:rPr>
        <w:t xml:space="preserve"> </w:t>
      </w:r>
      <w:proofErr w:type="spellStart"/>
      <w:r>
        <w:rPr>
          <w:rFonts w:asciiTheme="minorHAnsi" w:hAnsiTheme="minorHAnsi" w:cstheme="minorHAnsi"/>
        </w:rPr>
        <w:t>efikasnosti</w:t>
      </w:r>
      <w:proofErr w:type="spellEnd"/>
      <w:r w:rsidRPr="00F80724">
        <w:rPr>
          <w:rFonts w:asciiTheme="minorHAnsi" w:hAnsiTheme="minorHAnsi" w:cstheme="minorHAnsi"/>
        </w:rPr>
        <w:t xml:space="preserve"> u </w:t>
      </w:r>
      <w:proofErr w:type="spellStart"/>
      <w:r w:rsidRPr="00F80724">
        <w:rPr>
          <w:rFonts w:asciiTheme="minorHAnsi" w:hAnsiTheme="minorHAnsi" w:cstheme="minorHAnsi"/>
        </w:rPr>
        <w:t>potrošnji</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energije</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ili</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resurs</w:t>
      </w:r>
      <w:r>
        <w:rPr>
          <w:rFonts w:asciiTheme="minorHAnsi" w:hAnsiTheme="minorHAnsi" w:cstheme="minorHAnsi"/>
        </w:rPr>
        <w:t>ima</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trebalo</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biti</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najmanje</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dvostruko</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v</w:t>
      </w:r>
      <w:r>
        <w:rPr>
          <w:rFonts w:asciiTheme="minorHAnsi" w:hAnsiTheme="minorHAnsi" w:cstheme="minorHAnsi"/>
        </w:rPr>
        <w:t>eće</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od</w:t>
      </w:r>
      <w:proofErr w:type="spellEnd"/>
      <w:r w:rsidRPr="00F80724">
        <w:rPr>
          <w:rFonts w:asciiTheme="minorHAnsi" w:hAnsiTheme="minorHAnsi" w:cstheme="minorHAnsi"/>
        </w:rPr>
        <w:t xml:space="preserve"> </w:t>
      </w:r>
      <w:proofErr w:type="spellStart"/>
      <w:r>
        <w:rPr>
          <w:rFonts w:asciiTheme="minorHAnsi" w:hAnsiTheme="minorHAnsi" w:cstheme="minorHAnsi"/>
        </w:rPr>
        <w:t>marginalnog</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poboljšanja</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koje</w:t>
      </w:r>
      <w:proofErr w:type="spellEnd"/>
      <w:r w:rsidRPr="00F80724">
        <w:rPr>
          <w:rFonts w:asciiTheme="minorHAnsi" w:hAnsiTheme="minorHAnsi" w:cstheme="minorHAnsi"/>
        </w:rPr>
        <w:t xml:space="preserve"> se </w:t>
      </w:r>
      <w:proofErr w:type="spellStart"/>
      <w:r w:rsidRPr="00F80724">
        <w:rPr>
          <w:rFonts w:asciiTheme="minorHAnsi" w:hAnsiTheme="minorHAnsi" w:cstheme="minorHAnsi"/>
        </w:rPr>
        <w:t>očekuje</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od</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op</w:t>
      </w:r>
      <w:r>
        <w:rPr>
          <w:rFonts w:asciiTheme="minorHAnsi" w:hAnsiTheme="minorHAnsi" w:cstheme="minorHAnsi"/>
        </w:rPr>
        <w:t>šteg</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razvoja</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uporedivih</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neinovativnih</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djelatnosti</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Ako</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predloženi</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pristup</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nije</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primjeren</w:t>
      </w:r>
      <w:proofErr w:type="spellEnd"/>
      <w:r w:rsidRPr="00F80724">
        <w:rPr>
          <w:rFonts w:asciiTheme="minorHAnsi" w:hAnsiTheme="minorHAnsi" w:cstheme="minorHAnsi"/>
        </w:rPr>
        <w:t xml:space="preserve"> za </w:t>
      </w:r>
      <w:proofErr w:type="spellStart"/>
      <w:r w:rsidRPr="00F80724">
        <w:rPr>
          <w:rFonts w:asciiTheme="minorHAnsi" w:hAnsiTheme="minorHAnsi" w:cstheme="minorHAnsi"/>
        </w:rPr>
        <w:t>određeni</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slučaj</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ili</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ako</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nije</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moguć</w:t>
      </w:r>
      <w:r>
        <w:rPr>
          <w:rFonts w:asciiTheme="minorHAnsi" w:hAnsiTheme="minorHAnsi" w:cstheme="minorHAnsi"/>
        </w:rPr>
        <w:t>e</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k</w:t>
      </w:r>
      <w:r>
        <w:rPr>
          <w:rFonts w:asciiTheme="minorHAnsi" w:hAnsiTheme="minorHAnsi" w:cstheme="minorHAnsi"/>
        </w:rPr>
        <w:t>vantitativno</w:t>
      </w:r>
      <w:proofErr w:type="spellEnd"/>
      <w:r w:rsidRPr="00F80724">
        <w:rPr>
          <w:rFonts w:asciiTheme="minorHAnsi" w:hAnsiTheme="minorHAnsi" w:cstheme="minorHAnsi"/>
        </w:rPr>
        <w:t xml:space="preserve"> </w:t>
      </w:r>
      <w:proofErr w:type="spellStart"/>
      <w:r>
        <w:rPr>
          <w:rFonts w:asciiTheme="minorHAnsi" w:hAnsiTheme="minorHAnsi" w:cstheme="minorHAnsi"/>
        </w:rPr>
        <w:t>poređenje</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zahtjev</w:t>
      </w:r>
      <w:proofErr w:type="spellEnd"/>
      <w:r w:rsidRPr="00F80724">
        <w:rPr>
          <w:rFonts w:asciiTheme="minorHAnsi" w:hAnsiTheme="minorHAnsi" w:cstheme="minorHAnsi"/>
        </w:rPr>
        <w:t xml:space="preserve"> za </w:t>
      </w:r>
      <w:proofErr w:type="spellStart"/>
      <w:r w:rsidRPr="00F80724">
        <w:rPr>
          <w:rFonts w:asciiTheme="minorHAnsi" w:hAnsiTheme="minorHAnsi" w:cstheme="minorHAnsi"/>
        </w:rPr>
        <w:t>državnu</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po</w:t>
      </w:r>
      <w:r>
        <w:rPr>
          <w:rFonts w:asciiTheme="minorHAnsi" w:hAnsiTheme="minorHAnsi" w:cstheme="minorHAnsi"/>
        </w:rPr>
        <w:t>moć</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treba</w:t>
      </w:r>
      <w:r>
        <w:rPr>
          <w:rFonts w:asciiTheme="minorHAnsi" w:hAnsiTheme="minorHAnsi" w:cstheme="minorHAnsi"/>
        </w:rPr>
        <w:t>l</w:t>
      </w:r>
      <w:r w:rsidRPr="00F80724">
        <w:rPr>
          <w:rFonts w:asciiTheme="minorHAnsi" w:hAnsiTheme="minorHAnsi" w:cstheme="minorHAnsi"/>
        </w:rPr>
        <w:t>o</w:t>
      </w:r>
      <w:proofErr w:type="spellEnd"/>
      <w:r w:rsidRPr="00F80724">
        <w:rPr>
          <w:rFonts w:asciiTheme="minorHAnsi" w:hAnsiTheme="minorHAnsi" w:cstheme="minorHAnsi"/>
        </w:rPr>
        <w:t xml:space="preserve"> bi </w:t>
      </w:r>
      <w:r>
        <w:rPr>
          <w:rFonts w:asciiTheme="minorHAnsi" w:hAnsiTheme="minorHAnsi" w:cstheme="minorHAnsi"/>
        </w:rPr>
        <w:t xml:space="preserve">da </w:t>
      </w:r>
      <w:proofErr w:type="spellStart"/>
      <w:r w:rsidRPr="00F80724">
        <w:rPr>
          <w:rFonts w:asciiTheme="minorHAnsi" w:hAnsiTheme="minorHAnsi" w:cstheme="minorHAnsi"/>
        </w:rPr>
        <w:t>sadrži</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detaljan</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opis</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metod</w:t>
      </w:r>
      <w:r>
        <w:rPr>
          <w:rFonts w:asciiTheme="minorHAnsi" w:hAnsiTheme="minorHAnsi" w:cstheme="minorHAnsi"/>
        </w:rPr>
        <w:t>e</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koja</w:t>
      </w:r>
      <w:proofErr w:type="spellEnd"/>
      <w:r w:rsidRPr="00F80724">
        <w:rPr>
          <w:rFonts w:asciiTheme="minorHAnsi" w:hAnsiTheme="minorHAnsi" w:cstheme="minorHAnsi"/>
        </w:rPr>
        <w:t xml:space="preserve"> se </w:t>
      </w:r>
      <w:proofErr w:type="spellStart"/>
      <w:r w:rsidRPr="00F80724">
        <w:rPr>
          <w:rFonts w:asciiTheme="minorHAnsi" w:hAnsiTheme="minorHAnsi" w:cstheme="minorHAnsi"/>
        </w:rPr>
        <w:t>upotrebljava</w:t>
      </w:r>
      <w:proofErr w:type="spellEnd"/>
      <w:r w:rsidRPr="00F80724">
        <w:rPr>
          <w:rFonts w:asciiTheme="minorHAnsi" w:hAnsiTheme="minorHAnsi" w:cstheme="minorHAnsi"/>
        </w:rPr>
        <w:t xml:space="preserve"> za </w:t>
      </w:r>
      <w:proofErr w:type="spellStart"/>
      <w:r w:rsidRPr="00F80724">
        <w:rPr>
          <w:rFonts w:asciiTheme="minorHAnsi" w:hAnsiTheme="minorHAnsi" w:cstheme="minorHAnsi"/>
        </w:rPr>
        <w:t>procjenu</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tog</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kriterij</w:t>
      </w:r>
      <w:r>
        <w:rPr>
          <w:rFonts w:asciiTheme="minorHAnsi" w:hAnsiTheme="minorHAnsi" w:cstheme="minorHAnsi"/>
        </w:rPr>
        <w:t>uma</w:t>
      </w:r>
      <w:proofErr w:type="spellEnd"/>
      <w:r w:rsidRPr="00F80724">
        <w:rPr>
          <w:rFonts w:asciiTheme="minorHAnsi" w:hAnsiTheme="minorHAnsi" w:cstheme="minorHAnsi"/>
        </w:rPr>
        <w:t xml:space="preserve"> i </w:t>
      </w:r>
      <w:proofErr w:type="spellStart"/>
      <w:r w:rsidRPr="00F80724">
        <w:rPr>
          <w:rFonts w:asciiTheme="minorHAnsi" w:hAnsiTheme="minorHAnsi" w:cstheme="minorHAnsi"/>
        </w:rPr>
        <w:t>kojom</w:t>
      </w:r>
      <w:proofErr w:type="spellEnd"/>
      <w:r w:rsidRPr="00F80724">
        <w:rPr>
          <w:rFonts w:asciiTheme="minorHAnsi" w:hAnsiTheme="minorHAnsi" w:cstheme="minorHAnsi"/>
        </w:rPr>
        <w:t xml:space="preserve"> se </w:t>
      </w:r>
      <w:proofErr w:type="spellStart"/>
      <w:r w:rsidRPr="00F80724">
        <w:rPr>
          <w:rFonts w:asciiTheme="minorHAnsi" w:hAnsiTheme="minorHAnsi" w:cstheme="minorHAnsi"/>
        </w:rPr>
        <w:t>osigurava</w:t>
      </w:r>
      <w:proofErr w:type="spellEnd"/>
      <w:r w:rsidRPr="00F80724">
        <w:rPr>
          <w:rFonts w:asciiTheme="minorHAnsi" w:hAnsiTheme="minorHAnsi" w:cstheme="minorHAnsi"/>
        </w:rPr>
        <w:t xml:space="preserve"> standard </w:t>
      </w:r>
      <w:proofErr w:type="spellStart"/>
      <w:r w:rsidRPr="00F80724">
        <w:rPr>
          <w:rFonts w:asciiTheme="minorHAnsi" w:hAnsiTheme="minorHAnsi" w:cstheme="minorHAnsi"/>
        </w:rPr>
        <w:t>uporediv</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sa</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standardom</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predložene</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metod</w:t>
      </w:r>
      <w:r>
        <w:rPr>
          <w:rFonts w:asciiTheme="minorHAnsi" w:hAnsiTheme="minorHAnsi" w:cstheme="minorHAnsi"/>
        </w:rPr>
        <w:t>e</w:t>
      </w:r>
      <w:proofErr w:type="spellEnd"/>
      <w:r w:rsidRPr="00F80724">
        <w:rPr>
          <w:rFonts w:asciiTheme="minorHAnsi" w:hAnsiTheme="minorHAnsi" w:cstheme="minorHAnsi"/>
        </w:rPr>
        <w:t>.</w:t>
      </w:r>
    </w:p>
  </w:footnote>
  <w:footnote w:id="11">
    <w:p w14:paraId="291F19E8" w14:textId="77777777" w:rsidR="00C9629B" w:rsidRPr="00F80724" w:rsidRDefault="00C9629B" w:rsidP="00C9629B">
      <w:pPr>
        <w:pStyle w:val="FootnoteText"/>
        <w:spacing w:before="0"/>
        <w:ind w:left="0" w:firstLine="0"/>
        <w:contextualSpacing/>
        <w:rPr>
          <w:rFonts w:asciiTheme="minorHAnsi" w:hAnsiTheme="minorHAnsi" w:cstheme="minorHAnsi"/>
        </w:rPr>
      </w:pPr>
      <w:r w:rsidRPr="00F80724">
        <w:rPr>
          <w:rStyle w:val="FootnoteReference"/>
          <w:rFonts w:asciiTheme="minorHAnsi" w:hAnsiTheme="minorHAnsi" w:cstheme="minorHAnsi"/>
        </w:rPr>
        <w:footnoteRef/>
      </w:r>
      <w:r>
        <w:rPr>
          <w:rFonts w:asciiTheme="minorHAnsi" w:hAnsiTheme="minorHAnsi" w:cstheme="minorHAnsi"/>
        </w:rPr>
        <w:t xml:space="preserve"> </w:t>
      </w:r>
      <w:r w:rsidRPr="00F80724">
        <w:rPr>
          <w:rFonts w:asciiTheme="minorHAnsi" w:hAnsiTheme="minorHAnsi" w:cstheme="minorHAnsi"/>
        </w:rPr>
        <w:t xml:space="preserve">Taj </w:t>
      </w:r>
      <w:proofErr w:type="spellStart"/>
      <w:r w:rsidRPr="00F80724">
        <w:rPr>
          <w:rFonts w:asciiTheme="minorHAnsi" w:hAnsiTheme="minorHAnsi" w:cstheme="minorHAnsi"/>
        </w:rPr>
        <w:t>rizik</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država</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članica</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može</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na</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primjer</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dokazati</w:t>
      </w:r>
      <w:proofErr w:type="spellEnd"/>
      <w:r w:rsidRPr="00F80724">
        <w:rPr>
          <w:rFonts w:asciiTheme="minorHAnsi" w:hAnsiTheme="minorHAnsi" w:cstheme="minorHAnsi"/>
        </w:rPr>
        <w:t xml:space="preserve"> u </w:t>
      </w:r>
      <w:proofErr w:type="spellStart"/>
      <w:r w:rsidRPr="00F80724">
        <w:rPr>
          <w:rFonts w:asciiTheme="minorHAnsi" w:hAnsiTheme="minorHAnsi" w:cstheme="minorHAnsi"/>
        </w:rPr>
        <w:t>obliku</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troškova</w:t>
      </w:r>
      <w:proofErr w:type="spellEnd"/>
      <w:r w:rsidRPr="00F80724">
        <w:rPr>
          <w:rFonts w:asciiTheme="minorHAnsi" w:hAnsiTheme="minorHAnsi" w:cstheme="minorHAnsi"/>
        </w:rPr>
        <w:t xml:space="preserve"> u </w:t>
      </w:r>
      <w:proofErr w:type="spellStart"/>
      <w:r w:rsidRPr="00F80724">
        <w:rPr>
          <w:rFonts w:asciiTheme="minorHAnsi" w:hAnsiTheme="minorHAnsi" w:cstheme="minorHAnsi"/>
        </w:rPr>
        <w:t>odnosu</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na</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promet</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p</w:t>
      </w:r>
      <w:r>
        <w:rPr>
          <w:rFonts w:asciiTheme="minorHAnsi" w:hAnsiTheme="minorHAnsi" w:cstheme="minorHAnsi"/>
        </w:rPr>
        <w:t>rivrednog</w:t>
      </w:r>
      <w:proofErr w:type="spellEnd"/>
      <w:r>
        <w:rPr>
          <w:rFonts w:asciiTheme="minorHAnsi" w:hAnsiTheme="minorHAnsi" w:cstheme="minorHAnsi"/>
        </w:rPr>
        <w:t xml:space="preserve"> </w:t>
      </w:r>
      <w:proofErr w:type="spellStart"/>
      <w:r>
        <w:rPr>
          <w:rFonts w:asciiTheme="minorHAnsi" w:hAnsiTheme="minorHAnsi" w:cstheme="minorHAnsi"/>
        </w:rPr>
        <w:t>društva</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vremena</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potrebnog</w:t>
      </w:r>
      <w:proofErr w:type="spellEnd"/>
      <w:r w:rsidRPr="00F80724">
        <w:rPr>
          <w:rFonts w:asciiTheme="minorHAnsi" w:hAnsiTheme="minorHAnsi" w:cstheme="minorHAnsi"/>
        </w:rPr>
        <w:t xml:space="preserve"> za </w:t>
      </w:r>
      <w:proofErr w:type="spellStart"/>
      <w:r w:rsidRPr="00F80724">
        <w:rPr>
          <w:rFonts w:asciiTheme="minorHAnsi" w:hAnsiTheme="minorHAnsi" w:cstheme="minorHAnsi"/>
        </w:rPr>
        <w:t>razvoj</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očekivane</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dobiti</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od</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djelatnosti</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ekoloških</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inovacija</w:t>
      </w:r>
      <w:proofErr w:type="spellEnd"/>
      <w:r w:rsidRPr="00F80724">
        <w:rPr>
          <w:rFonts w:asciiTheme="minorHAnsi" w:hAnsiTheme="minorHAnsi" w:cstheme="minorHAnsi"/>
        </w:rPr>
        <w:t xml:space="preserve"> u </w:t>
      </w:r>
      <w:proofErr w:type="spellStart"/>
      <w:r>
        <w:rPr>
          <w:rFonts w:asciiTheme="minorHAnsi" w:hAnsiTheme="minorHAnsi" w:cstheme="minorHAnsi"/>
        </w:rPr>
        <w:t>poređenju</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s</w:t>
      </w:r>
      <w:r>
        <w:rPr>
          <w:rFonts w:asciiTheme="minorHAnsi" w:hAnsiTheme="minorHAnsi" w:cstheme="minorHAnsi"/>
        </w:rPr>
        <w:t>a</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troškovima</w:t>
      </w:r>
      <w:proofErr w:type="spellEnd"/>
      <w:r w:rsidRPr="00F80724">
        <w:rPr>
          <w:rFonts w:asciiTheme="minorHAnsi" w:hAnsiTheme="minorHAnsi" w:cstheme="minorHAnsi"/>
        </w:rPr>
        <w:t xml:space="preserve"> i </w:t>
      </w:r>
      <w:proofErr w:type="spellStart"/>
      <w:r w:rsidRPr="00F80724">
        <w:rPr>
          <w:rFonts w:asciiTheme="minorHAnsi" w:hAnsiTheme="minorHAnsi" w:cstheme="minorHAnsi"/>
        </w:rPr>
        <w:t>vjero</w:t>
      </w:r>
      <w:r>
        <w:rPr>
          <w:rFonts w:asciiTheme="minorHAnsi" w:hAnsiTheme="minorHAnsi" w:cstheme="minorHAnsi"/>
        </w:rPr>
        <w:t>vatnoće</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neuspjeha</w:t>
      </w:r>
      <w:proofErr w:type="spellEnd"/>
      <w:r w:rsidRPr="00F80724">
        <w:rPr>
          <w:rFonts w:asciiTheme="minorHAnsi" w:hAnsiTheme="minorHAnsi" w:cstheme="minorHAnsi"/>
        </w:rPr>
        <w:t>.</w:t>
      </w:r>
    </w:p>
  </w:footnote>
  <w:footnote w:id="12">
    <w:p w14:paraId="293196A6" w14:textId="77777777" w:rsidR="00C9629B" w:rsidRPr="00BB4B74" w:rsidRDefault="00C9629B" w:rsidP="00C9629B">
      <w:pPr>
        <w:pStyle w:val="FootnoteText"/>
        <w:spacing w:before="0"/>
        <w:ind w:left="0" w:firstLine="0"/>
        <w:contextualSpacing/>
        <w:rPr>
          <w:rFonts w:asciiTheme="minorHAnsi" w:hAnsiTheme="minorHAnsi" w:cstheme="minorHAnsi"/>
        </w:rPr>
      </w:pPr>
      <w:r w:rsidRPr="00BB4B74">
        <w:rPr>
          <w:rStyle w:val="FootnoteReference"/>
          <w:rFonts w:asciiTheme="minorHAnsi" w:hAnsiTheme="minorHAnsi" w:cstheme="minorHAnsi"/>
        </w:rPr>
        <w:footnoteRef/>
      </w:r>
      <w:r w:rsidRPr="00BB4B74">
        <w:rPr>
          <w:rFonts w:asciiTheme="minorHAnsi" w:hAnsiTheme="minorHAnsi" w:cstheme="minorHAnsi"/>
        </w:rPr>
        <w:tab/>
      </w:r>
      <w:proofErr w:type="spellStart"/>
      <w:r w:rsidRPr="00BB4B74">
        <w:rPr>
          <w:rFonts w:asciiTheme="minorHAnsi" w:hAnsiTheme="minorHAnsi" w:cstheme="minorHAnsi"/>
        </w:rPr>
        <w:t>Vidjeti</w:t>
      </w:r>
      <w:proofErr w:type="spellEnd"/>
      <w:r w:rsidRPr="00BB4B74">
        <w:rPr>
          <w:rFonts w:asciiTheme="minorHAnsi" w:hAnsiTheme="minorHAnsi" w:cstheme="minorHAnsi"/>
        </w:rPr>
        <w:t xml:space="preserve"> i </w:t>
      </w:r>
      <w:proofErr w:type="spellStart"/>
      <w:r w:rsidRPr="00BB4B74">
        <w:rPr>
          <w:rFonts w:asciiTheme="minorHAnsi" w:hAnsiTheme="minorHAnsi" w:cstheme="minorHAnsi"/>
        </w:rPr>
        <w:t>dodatne</w:t>
      </w:r>
      <w:proofErr w:type="spellEnd"/>
      <w:r w:rsidRPr="00BB4B74">
        <w:rPr>
          <w:rFonts w:asciiTheme="minorHAnsi" w:hAnsiTheme="minorHAnsi" w:cstheme="minorHAnsi"/>
        </w:rPr>
        <w:t xml:space="preserve"> </w:t>
      </w:r>
      <w:proofErr w:type="spellStart"/>
      <w:r w:rsidRPr="00BB4B74">
        <w:rPr>
          <w:rFonts w:asciiTheme="minorHAnsi" w:hAnsiTheme="minorHAnsi" w:cstheme="minorHAnsi"/>
        </w:rPr>
        <w:t>informacije</w:t>
      </w:r>
      <w:proofErr w:type="spellEnd"/>
      <w:r w:rsidRPr="00BB4B74">
        <w:rPr>
          <w:rFonts w:asciiTheme="minorHAnsi" w:hAnsiTheme="minorHAnsi" w:cstheme="minorHAnsi"/>
        </w:rPr>
        <w:t xml:space="preserve"> u </w:t>
      </w:r>
      <w:proofErr w:type="spellStart"/>
      <w:r w:rsidRPr="00BB4B74">
        <w:rPr>
          <w:rFonts w:asciiTheme="minorHAnsi" w:hAnsiTheme="minorHAnsi" w:cstheme="minorHAnsi"/>
        </w:rPr>
        <w:t>tačkama</w:t>
      </w:r>
      <w:proofErr w:type="spellEnd"/>
      <w:r w:rsidRPr="00BB4B74">
        <w:rPr>
          <w:rFonts w:asciiTheme="minorHAnsi" w:hAnsiTheme="minorHAnsi" w:cstheme="minorHAnsi"/>
        </w:rPr>
        <w:t xml:space="preserve"> od 51 do 53, </w:t>
      </w:r>
      <w:proofErr w:type="spellStart"/>
      <w:r w:rsidRPr="00BB4B74">
        <w:rPr>
          <w:rFonts w:asciiTheme="minorHAnsi" w:hAnsiTheme="minorHAnsi" w:cstheme="minorHAnsi"/>
        </w:rPr>
        <w:t>kao</w:t>
      </w:r>
      <w:proofErr w:type="spellEnd"/>
      <w:r w:rsidRPr="00BB4B74">
        <w:rPr>
          <w:rFonts w:asciiTheme="minorHAnsi" w:hAnsiTheme="minorHAnsi" w:cstheme="minorHAnsi"/>
        </w:rPr>
        <w:t xml:space="preserve"> i </w:t>
      </w:r>
      <w:proofErr w:type="spellStart"/>
      <w:r w:rsidRPr="00BB4B74">
        <w:rPr>
          <w:rFonts w:asciiTheme="minorHAnsi" w:hAnsiTheme="minorHAnsi" w:cstheme="minorHAnsi"/>
        </w:rPr>
        <w:t>fusnote</w:t>
      </w:r>
      <w:proofErr w:type="spellEnd"/>
      <w:r w:rsidRPr="00BB4B74">
        <w:rPr>
          <w:rFonts w:asciiTheme="minorHAnsi" w:hAnsiTheme="minorHAnsi" w:cstheme="minorHAnsi"/>
        </w:rPr>
        <w:t xml:space="preserve"> 45 i 46 CEEAG-a.</w:t>
      </w:r>
    </w:p>
  </w:footnote>
  <w:footnote w:id="13">
    <w:p w14:paraId="6E6D2F13" w14:textId="77777777" w:rsidR="00C9629B" w:rsidRPr="00A86CDD" w:rsidRDefault="00C9629B" w:rsidP="00C9629B">
      <w:pPr>
        <w:pStyle w:val="FootnoteText"/>
        <w:spacing w:before="0"/>
        <w:ind w:left="0" w:firstLine="0"/>
        <w:rPr>
          <w:rFonts w:asciiTheme="minorHAnsi" w:hAnsiTheme="minorHAnsi" w:cstheme="minorHAnsi"/>
          <w:lang w:val="sr-Latn-RS"/>
        </w:rPr>
      </w:pPr>
      <w:r w:rsidRPr="00A86CDD">
        <w:rPr>
          <w:rStyle w:val="FootnoteReference"/>
          <w:rFonts w:asciiTheme="minorHAnsi" w:hAnsiTheme="minorHAnsi" w:cstheme="minorHAnsi"/>
        </w:rPr>
        <w:footnoteRef/>
      </w:r>
      <w:r w:rsidRPr="00A86CDD">
        <w:rPr>
          <w:rFonts w:asciiTheme="minorHAnsi" w:hAnsiTheme="minorHAnsi" w:cstheme="minorHAnsi"/>
        </w:rPr>
        <w:t xml:space="preserve"> </w:t>
      </w:r>
      <w:r w:rsidRPr="00A86CDD">
        <w:rPr>
          <w:rFonts w:asciiTheme="minorHAnsi" w:hAnsiTheme="minorHAnsi" w:cstheme="minorHAnsi"/>
        </w:rPr>
        <w:t xml:space="preserve">U tom </w:t>
      </w:r>
      <w:proofErr w:type="spellStart"/>
      <w:r w:rsidRPr="00A86CDD">
        <w:rPr>
          <w:rFonts w:asciiTheme="minorHAnsi" w:hAnsiTheme="minorHAnsi" w:cstheme="minorHAnsi"/>
        </w:rPr>
        <w:t>slučaju</w:t>
      </w:r>
      <w:proofErr w:type="spellEnd"/>
      <w:r w:rsidRPr="00A86CDD">
        <w:rPr>
          <w:rFonts w:asciiTheme="minorHAnsi" w:hAnsiTheme="minorHAnsi" w:cstheme="minorHAnsi"/>
        </w:rPr>
        <w:t xml:space="preserve">, </w:t>
      </w:r>
      <w:proofErr w:type="spellStart"/>
      <w:r w:rsidRPr="00A86CDD">
        <w:rPr>
          <w:rFonts w:asciiTheme="minorHAnsi" w:hAnsiTheme="minorHAnsi" w:cstheme="minorHAnsi"/>
        </w:rPr>
        <w:t>prema</w:t>
      </w:r>
      <w:proofErr w:type="spellEnd"/>
      <w:r w:rsidRPr="00A86CDD">
        <w:rPr>
          <w:rFonts w:asciiTheme="minorHAnsi" w:hAnsiTheme="minorHAnsi" w:cstheme="minorHAnsi"/>
        </w:rPr>
        <w:t xml:space="preserve"> </w:t>
      </w:r>
      <w:proofErr w:type="spellStart"/>
      <w:r w:rsidRPr="00A86CDD">
        <w:rPr>
          <w:rFonts w:asciiTheme="minorHAnsi" w:hAnsiTheme="minorHAnsi" w:cstheme="minorHAnsi"/>
        </w:rPr>
        <w:t>tački</w:t>
      </w:r>
      <w:proofErr w:type="spellEnd"/>
      <w:r w:rsidRPr="00A86CDD">
        <w:rPr>
          <w:rFonts w:asciiTheme="minorHAnsi" w:hAnsiTheme="minorHAnsi" w:cstheme="minorHAnsi"/>
        </w:rPr>
        <w:t xml:space="preserve"> 52 CEEAG-a, „</w:t>
      </w:r>
      <w:proofErr w:type="spellStart"/>
      <w:r w:rsidRPr="00A86CDD">
        <w:rPr>
          <w:rFonts w:asciiTheme="minorHAnsi" w:hAnsiTheme="minorHAnsi" w:cstheme="minorHAnsi"/>
        </w:rPr>
        <w:t>neto</w:t>
      </w:r>
      <w:proofErr w:type="spellEnd"/>
      <w:r w:rsidRPr="00A86CDD">
        <w:rPr>
          <w:rFonts w:asciiTheme="minorHAnsi" w:hAnsiTheme="minorHAnsi" w:cstheme="minorHAnsi"/>
        </w:rPr>
        <w:t xml:space="preserve"> </w:t>
      </w:r>
      <w:proofErr w:type="spellStart"/>
      <w:r w:rsidRPr="00A86CDD">
        <w:rPr>
          <w:rFonts w:asciiTheme="minorHAnsi" w:hAnsiTheme="minorHAnsi" w:cstheme="minorHAnsi"/>
        </w:rPr>
        <w:t>dodatni</w:t>
      </w:r>
      <w:proofErr w:type="spellEnd"/>
      <w:r w:rsidRPr="00A86CDD">
        <w:rPr>
          <w:rFonts w:asciiTheme="minorHAnsi" w:hAnsiTheme="minorHAnsi" w:cstheme="minorHAnsi"/>
        </w:rPr>
        <w:t xml:space="preserve"> </w:t>
      </w:r>
      <w:proofErr w:type="spellStart"/>
      <w:r w:rsidRPr="00A86CDD">
        <w:rPr>
          <w:rFonts w:asciiTheme="minorHAnsi" w:hAnsiTheme="minorHAnsi" w:cstheme="minorHAnsi"/>
        </w:rPr>
        <w:t>trošak</w:t>
      </w:r>
      <w:proofErr w:type="spellEnd"/>
      <w:r w:rsidRPr="00A86CDD">
        <w:rPr>
          <w:rFonts w:asciiTheme="minorHAnsi" w:hAnsiTheme="minorHAnsi" w:cstheme="minorHAnsi"/>
        </w:rPr>
        <w:t xml:space="preserve"> </w:t>
      </w:r>
      <w:proofErr w:type="spellStart"/>
      <w:r w:rsidRPr="00A86CDD">
        <w:rPr>
          <w:rFonts w:asciiTheme="minorHAnsi" w:hAnsiTheme="minorHAnsi" w:cstheme="minorHAnsi"/>
        </w:rPr>
        <w:t>može</w:t>
      </w:r>
      <w:proofErr w:type="spellEnd"/>
      <w:r w:rsidRPr="00A86CDD">
        <w:rPr>
          <w:rFonts w:asciiTheme="minorHAnsi" w:hAnsiTheme="minorHAnsi" w:cstheme="minorHAnsi"/>
        </w:rPr>
        <w:t xml:space="preserve"> se </w:t>
      </w:r>
      <w:proofErr w:type="spellStart"/>
      <w:r w:rsidRPr="00A86CDD">
        <w:rPr>
          <w:rFonts w:asciiTheme="minorHAnsi" w:hAnsiTheme="minorHAnsi" w:cstheme="minorHAnsi"/>
        </w:rPr>
        <w:t>približno</w:t>
      </w:r>
      <w:proofErr w:type="spellEnd"/>
      <w:r w:rsidRPr="00A86CDD">
        <w:rPr>
          <w:rFonts w:asciiTheme="minorHAnsi" w:hAnsiTheme="minorHAnsi" w:cstheme="minorHAnsi"/>
        </w:rPr>
        <w:t xml:space="preserve"> </w:t>
      </w:r>
      <w:proofErr w:type="spellStart"/>
      <w:r w:rsidRPr="00A86CDD">
        <w:rPr>
          <w:rFonts w:asciiTheme="minorHAnsi" w:hAnsiTheme="minorHAnsi" w:cstheme="minorHAnsi"/>
        </w:rPr>
        <w:t>odrediti</w:t>
      </w:r>
      <w:proofErr w:type="spellEnd"/>
      <w:r w:rsidRPr="00A86CDD">
        <w:rPr>
          <w:rFonts w:asciiTheme="minorHAnsi" w:hAnsiTheme="minorHAnsi" w:cstheme="minorHAnsi"/>
        </w:rPr>
        <w:t xml:space="preserve"> </w:t>
      </w:r>
      <w:proofErr w:type="spellStart"/>
      <w:r w:rsidRPr="00A86CDD">
        <w:rPr>
          <w:rFonts w:asciiTheme="minorHAnsi" w:hAnsiTheme="minorHAnsi" w:cstheme="minorHAnsi"/>
        </w:rPr>
        <w:t>na</w:t>
      </w:r>
      <w:proofErr w:type="spellEnd"/>
      <w:r w:rsidRPr="00A86CDD">
        <w:rPr>
          <w:rFonts w:asciiTheme="minorHAnsi" w:hAnsiTheme="minorHAnsi" w:cstheme="minorHAnsi"/>
        </w:rPr>
        <w:t xml:space="preserve"> </w:t>
      </w:r>
      <w:proofErr w:type="spellStart"/>
      <w:r w:rsidRPr="00A86CDD">
        <w:rPr>
          <w:rFonts w:asciiTheme="minorHAnsi" w:hAnsiTheme="minorHAnsi" w:cstheme="minorHAnsi"/>
        </w:rPr>
        <w:t>osnovu</w:t>
      </w:r>
      <w:proofErr w:type="spellEnd"/>
      <w:r w:rsidRPr="00A86CDD">
        <w:rPr>
          <w:rFonts w:asciiTheme="minorHAnsi" w:hAnsiTheme="minorHAnsi" w:cstheme="minorHAnsi"/>
        </w:rPr>
        <w:t xml:space="preserve"> </w:t>
      </w:r>
      <w:proofErr w:type="spellStart"/>
      <w:r w:rsidRPr="00A86CDD">
        <w:rPr>
          <w:rFonts w:asciiTheme="minorHAnsi" w:hAnsiTheme="minorHAnsi" w:cstheme="minorHAnsi"/>
        </w:rPr>
        <w:t>neto</w:t>
      </w:r>
      <w:proofErr w:type="spellEnd"/>
      <w:r w:rsidRPr="00A86CDD">
        <w:rPr>
          <w:rFonts w:asciiTheme="minorHAnsi" w:hAnsiTheme="minorHAnsi" w:cstheme="minorHAnsi"/>
        </w:rPr>
        <w:t xml:space="preserve"> </w:t>
      </w:r>
      <w:proofErr w:type="spellStart"/>
      <w:r w:rsidRPr="00A86CDD">
        <w:rPr>
          <w:rFonts w:asciiTheme="minorHAnsi" w:hAnsiTheme="minorHAnsi" w:cstheme="minorHAnsi"/>
        </w:rPr>
        <w:t>sadašnje</w:t>
      </w:r>
      <w:proofErr w:type="spellEnd"/>
      <w:r w:rsidRPr="00A86CDD">
        <w:rPr>
          <w:rFonts w:asciiTheme="minorHAnsi" w:hAnsiTheme="minorHAnsi" w:cstheme="minorHAnsi"/>
        </w:rPr>
        <w:t xml:space="preserve"> </w:t>
      </w:r>
      <w:proofErr w:type="spellStart"/>
      <w:r w:rsidRPr="00A86CDD">
        <w:rPr>
          <w:rFonts w:asciiTheme="minorHAnsi" w:hAnsiTheme="minorHAnsi" w:cstheme="minorHAnsi"/>
        </w:rPr>
        <w:t>vrijednosti</w:t>
      </w:r>
      <w:proofErr w:type="spellEnd"/>
      <w:r w:rsidRPr="00A86CDD">
        <w:rPr>
          <w:rFonts w:asciiTheme="minorHAnsi" w:hAnsiTheme="minorHAnsi" w:cstheme="minorHAnsi"/>
        </w:rPr>
        <w:t xml:space="preserve"> </w:t>
      </w:r>
      <w:proofErr w:type="spellStart"/>
      <w:r w:rsidRPr="00A86CDD">
        <w:rPr>
          <w:rFonts w:asciiTheme="minorHAnsi" w:hAnsiTheme="minorHAnsi" w:cstheme="minorHAnsi"/>
        </w:rPr>
        <w:t>projekta</w:t>
      </w:r>
      <w:proofErr w:type="spellEnd"/>
      <w:r w:rsidRPr="00A86CDD">
        <w:rPr>
          <w:rFonts w:asciiTheme="minorHAnsi" w:hAnsiTheme="minorHAnsi" w:cstheme="minorHAnsi"/>
        </w:rPr>
        <w:t xml:space="preserve"> u </w:t>
      </w:r>
      <w:proofErr w:type="spellStart"/>
      <w:r w:rsidRPr="00A86CDD">
        <w:rPr>
          <w:rFonts w:asciiTheme="minorHAnsi" w:hAnsiTheme="minorHAnsi" w:cstheme="minorHAnsi"/>
        </w:rPr>
        <w:t>činjeničnom</w:t>
      </w:r>
      <w:proofErr w:type="spellEnd"/>
      <w:r w:rsidRPr="00A86CDD">
        <w:rPr>
          <w:rFonts w:asciiTheme="minorHAnsi" w:hAnsiTheme="minorHAnsi" w:cstheme="minorHAnsi"/>
        </w:rPr>
        <w:t xml:space="preserve"> </w:t>
      </w:r>
      <w:proofErr w:type="spellStart"/>
      <w:r w:rsidRPr="00A86CDD">
        <w:rPr>
          <w:rFonts w:asciiTheme="minorHAnsi" w:hAnsiTheme="minorHAnsi" w:cstheme="minorHAnsi"/>
        </w:rPr>
        <w:t>scenariju</w:t>
      </w:r>
      <w:proofErr w:type="spellEnd"/>
      <w:r w:rsidRPr="00A86CDD">
        <w:rPr>
          <w:rFonts w:asciiTheme="minorHAnsi" w:hAnsiTheme="minorHAnsi" w:cstheme="minorHAnsi"/>
        </w:rPr>
        <w:t xml:space="preserve"> bez </w:t>
      </w:r>
      <w:proofErr w:type="spellStart"/>
      <w:r w:rsidRPr="00A86CDD">
        <w:rPr>
          <w:rFonts w:asciiTheme="minorHAnsi" w:hAnsiTheme="minorHAnsi" w:cstheme="minorHAnsi"/>
        </w:rPr>
        <w:t>pomoći</w:t>
      </w:r>
      <w:proofErr w:type="spellEnd"/>
      <w:r w:rsidRPr="00A86CDD">
        <w:rPr>
          <w:rFonts w:asciiTheme="minorHAnsi" w:hAnsiTheme="minorHAnsi" w:cstheme="minorHAnsi"/>
        </w:rPr>
        <w:t xml:space="preserve"> </w:t>
      </w:r>
      <w:proofErr w:type="spellStart"/>
      <w:r w:rsidRPr="00A86CDD">
        <w:rPr>
          <w:rFonts w:asciiTheme="minorHAnsi" w:hAnsiTheme="minorHAnsi" w:cstheme="minorHAnsi"/>
        </w:rPr>
        <w:t>tokom</w:t>
      </w:r>
      <w:proofErr w:type="spellEnd"/>
      <w:r w:rsidRPr="00A86CDD">
        <w:rPr>
          <w:rFonts w:asciiTheme="minorHAnsi" w:hAnsiTheme="minorHAnsi" w:cstheme="minorHAnsi"/>
        </w:rPr>
        <w:t xml:space="preserve"> </w:t>
      </w:r>
      <w:proofErr w:type="spellStart"/>
      <w:r w:rsidRPr="00A86CDD">
        <w:rPr>
          <w:rFonts w:asciiTheme="minorHAnsi" w:hAnsiTheme="minorHAnsi" w:cstheme="minorHAnsi"/>
        </w:rPr>
        <w:t>životnog</w:t>
      </w:r>
      <w:proofErr w:type="spellEnd"/>
      <w:r w:rsidRPr="00A86CDD">
        <w:rPr>
          <w:rFonts w:asciiTheme="minorHAnsi" w:hAnsiTheme="minorHAnsi" w:cstheme="minorHAnsi"/>
        </w:rPr>
        <w:t xml:space="preserve"> </w:t>
      </w:r>
      <w:proofErr w:type="spellStart"/>
      <w:r w:rsidRPr="00A86CDD">
        <w:rPr>
          <w:rFonts w:asciiTheme="minorHAnsi" w:hAnsiTheme="minorHAnsi" w:cstheme="minorHAnsi"/>
        </w:rPr>
        <w:t>ciklusa</w:t>
      </w:r>
      <w:proofErr w:type="spellEnd"/>
      <w:r w:rsidRPr="00A86CDD">
        <w:rPr>
          <w:rFonts w:asciiTheme="minorHAnsi" w:hAnsiTheme="minorHAnsi" w:cstheme="minorHAnsi"/>
        </w:rPr>
        <w:t xml:space="preserve"> </w:t>
      </w:r>
      <w:proofErr w:type="spellStart"/>
      <w:r w:rsidRPr="00A86CDD">
        <w:rPr>
          <w:rFonts w:asciiTheme="minorHAnsi" w:hAnsiTheme="minorHAnsi" w:cstheme="minorHAnsi"/>
        </w:rPr>
        <w:t>projekta</w:t>
      </w:r>
      <w:proofErr w:type="spellEnd"/>
      <w:r w:rsidRPr="00A86CDD">
        <w:rPr>
          <w:rFonts w:asciiTheme="minorHAnsi" w:hAnsiTheme="minorHAnsi" w:cstheme="minorHAnsi"/>
        </w:rPr>
        <w:t xml:space="preserve"> (</w:t>
      </w:r>
      <w:proofErr w:type="spellStart"/>
      <w:r w:rsidRPr="00A86CDD">
        <w:rPr>
          <w:rFonts w:asciiTheme="minorHAnsi" w:hAnsiTheme="minorHAnsi" w:cstheme="minorHAnsi"/>
        </w:rPr>
        <w:t>pri</w:t>
      </w:r>
      <w:proofErr w:type="spellEnd"/>
      <w:r w:rsidRPr="00A86CDD">
        <w:rPr>
          <w:rFonts w:asciiTheme="minorHAnsi" w:hAnsiTheme="minorHAnsi" w:cstheme="minorHAnsi"/>
        </w:rPr>
        <w:t xml:space="preserve"> </w:t>
      </w:r>
      <w:proofErr w:type="spellStart"/>
      <w:r w:rsidRPr="00A86CDD">
        <w:rPr>
          <w:rFonts w:asciiTheme="minorHAnsi" w:hAnsiTheme="minorHAnsi" w:cstheme="minorHAnsi"/>
        </w:rPr>
        <w:t>čemu</w:t>
      </w:r>
      <w:proofErr w:type="spellEnd"/>
      <w:r w:rsidRPr="00A86CDD">
        <w:rPr>
          <w:rFonts w:asciiTheme="minorHAnsi" w:hAnsiTheme="minorHAnsi" w:cstheme="minorHAnsi"/>
        </w:rPr>
        <w:t xml:space="preserve"> se </w:t>
      </w:r>
      <w:proofErr w:type="spellStart"/>
      <w:r w:rsidRPr="00A86CDD">
        <w:rPr>
          <w:rFonts w:asciiTheme="minorHAnsi" w:hAnsiTheme="minorHAnsi" w:cstheme="minorHAnsi"/>
        </w:rPr>
        <w:t>podrazumijeva</w:t>
      </w:r>
      <w:proofErr w:type="spellEnd"/>
      <w:r w:rsidRPr="00A86CDD">
        <w:rPr>
          <w:rFonts w:asciiTheme="minorHAnsi" w:hAnsiTheme="minorHAnsi" w:cstheme="minorHAnsi"/>
        </w:rPr>
        <w:t xml:space="preserve"> da je </w:t>
      </w:r>
      <w:proofErr w:type="spellStart"/>
      <w:r w:rsidRPr="00A86CDD">
        <w:rPr>
          <w:rFonts w:asciiTheme="minorHAnsi" w:hAnsiTheme="minorHAnsi" w:cstheme="minorHAnsi"/>
        </w:rPr>
        <w:t>neto</w:t>
      </w:r>
      <w:proofErr w:type="spellEnd"/>
      <w:r w:rsidRPr="00A86CDD">
        <w:rPr>
          <w:rFonts w:asciiTheme="minorHAnsi" w:hAnsiTheme="minorHAnsi" w:cstheme="minorHAnsi"/>
        </w:rPr>
        <w:t xml:space="preserve"> </w:t>
      </w:r>
      <w:proofErr w:type="spellStart"/>
      <w:r w:rsidRPr="00A86CDD">
        <w:rPr>
          <w:rFonts w:asciiTheme="minorHAnsi" w:hAnsiTheme="minorHAnsi" w:cstheme="minorHAnsi"/>
        </w:rPr>
        <w:t>sadašnja</w:t>
      </w:r>
      <w:proofErr w:type="spellEnd"/>
      <w:r w:rsidRPr="00A86CDD">
        <w:rPr>
          <w:rFonts w:asciiTheme="minorHAnsi" w:hAnsiTheme="minorHAnsi" w:cstheme="minorHAnsi"/>
        </w:rPr>
        <w:t xml:space="preserve"> </w:t>
      </w:r>
      <w:proofErr w:type="spellStart"/>
      <w:r w:rsidRPr="00A86CDD">
        <w:rPr>
          <w:rFonts w:asciiTheme="minorHAnsi" w:hAnsiTheme="minorHAnsi" w:cstheme="minorHAnsi"/>
        </w:rPr>
        <w:t>vrijednost</w:t>
      </w:r>
      <w:proofErr w:type="spellEnd"/>
      <w:r w:rsidRPr="00A86CDD">
        <w:rPr>
          <w:rFonts w:asciiTheme="minorHAnsi" w:hAnsiTheme="minorHAnsi" w:cstheme="minorHAnsi"/>
        </w:rPr>
        <w:t xml:space="preserve"> </w:t>
      </w:r>
      <w:proofErr w:type="spellStart"/>
      <w:r w:rsidRPr="00A86CDD">
        <w:rPr>
          <w:rFonts w:asciiTheme="minorHAnsi" w:hAnsiTheme="minorHAnsi" w:cstheme="minorHAnsi"/>
        </w:rPr>
        <w:t>uporednog</w:t>
      </w:r>
      <w:proofErr w:type="spellEnd"/>
      <w:r w:rsidRPr="00A86CDD">
        <w:rPr>
          <w:rFonts w:asciiTheme="minorHAnsi" w:hAnsiTheme="minorHAnsi" w:cstheme="minorHAnsi"/>
        </w:rPr>
        <w:t xml:space="preserve"> </w:t>
      </w:r>
      <w:proofErr w:type="spellStart"/>
      <w:r w:rsidRPr="00A86CDD">
        <w:rPr>
          <w:rFonts w:asciiTheme="minorHAnsi" w:hAnsiTheme="minorHAnsi" w:cstheme="minorHAnsi"/>
        </w:rPr>
        <w:t>scenarija</w:t>
      </w:r>
      <w:proofErr w:type="spellEnd"/>
      <w:r w:rsidRPr="00A86CDD">
        <w:rPr>
          <w:rFonts w:asciiTheme="minorHAnsi" w:hAnsiTheme="minorHAnsi" w:cstheme="minorHAnsi"/>
        </w:rPr>
        <w:t xml:space="preserve"> </w:t>
      </w:r>
      <w:proofErr w:type="spellStart"/>
      <w:r w:rsidRPr="00A86CDD">
        <w:rPr>
          <w:rFonts w:asciiTheme="minorHAnsi" w:hAnsiTheme="minorHAnsi" w:cstheme="minorHAnsi"/>
        </w:rPr>
        <w:t>jednaka</w:t>
      </w:r>
      <w:proofErr w:type="spellEnd"/>
      <w:r w:rsidRPr="00A86CDD">
        <w:rPr>
          <w:rFonts w:asciiTheme="minorHAnsi" w:hAnsiTheme="minorHAnsi" w:cstheme="minorHAnsi"/>
        </w:rPr>
        <w:t xml:space="preserve"> </w:t>
      </w:r>
      <w:proofErr w:type="spellStart"/>
      <w:r w:rsidRPr="00A86CDD">
        <w:rPr>
          <w:rFonts w:asciiTheme="minorHAnsi" w:hAnsiTheme="minorHAnsi" w:cstheme="minorHAnsi"/>
        </w:rPr>
        <w:t>nuli</w:t>
      </w:r>
      <w:proofErr w:type="spellEnd"/>
      <w:r w:rsidRPr="00A86CDD">
        <w:rPr>
          <w:rFonts w:asciiTheme="minorHAnsi" w:hAnsiTheme="minorHAnsi" w:cstheme="minorHAnsi"/>
        </w:rPr>
        <w:t>)”</w:t>
      </w:r>
    </w:p>
  </w:footnote>
  <w:footnote w:id="14">
    <w:p w14:paraId="6DB3E4C2" w14:textId="77777777" w:rsidR="00C9629B" w:rsidRPr="00F255B8" w:rsidRDefault="00C9629B" w:rsidP="00C9629B">
      <w:pPr>
        <w:pStyle w:val="FootnoteText"/>
        <w:spacing w:before="0" w:after="0"/>
        <w:ind w:left="0" w:firstLine="0"/>
        <w:rPr>
          <w:rFonts w:asciiTheme="minorHAnsi" w:hAnsiTheme="minorHAnsi" w:cstheme="minorHAnsi"/>
        </w:rPr>
      </w:pPr>
      <w:r w:rsidRPr="00F255B8">
        <w:rPr>
          <w:rStyle w:val="FootnoteReference"/>
          <w:rFonts w:asciiTheme="minorHAnsi" w:hAnsiTheme="minorHAnsi" w:cstheme="minorHAnsi"/>
        </w:rPr>
        <w:footnoteRef/>
      </w:r>
      <w:r w:rsidRPr="00F255B8">
        <w:rPr>
          <w:rFonts w:asciiTheme="minorHAnsi" w:hAnsiTheme="minorHAnsi" w:cstheme="minorHAnsi"/>
        </w:rPr>
        <w:t xml:space="preserve"> </w:t>
      </w:r>
      <w:proofErr w:type="spellStart"/>
      <w:r w:rsidRPr="00F255B8">
        <w:rPr>
          <w:rFonts w:asciiTheme="minorHAnsi" w:hAnsiTheme="minorHAnsi" w:cstheme="minorHAnsi"/>
        </w:rPr>
        <w:t>Imajte</w:t>
      </w:r>
      <w:proofErr w:type="spellEnd"/>
      <w:r w:rsidRPr="00F255B8">
        <w:rPr>
          <w:rFonts w:asciiTheme="minorHAnsi" w:hAnsiTheme="minorHAnsi" w:cstheme="minorHAnsi"/>
        </w:rPr>
        <w:t xml:space="preserve"> u </w:t>
      </w:r>
      <w:proofErr w:type="spellStart"/>
      <w:r w:rsidRPr="00F255B8">
        <w:rPr>
          <w:rFonts w:asciiTheme="minorHAnsi" w:hAnsiTheme="minorHAnsi" w:cstheme="minorHAnsi"/>
        </w:rPr>
        <w:t>vidu</w:t>
      </w:r>
      <w:proofErr w:type="spellEnd"/>
      <w:r w:rsidRPr="00F255B8">
        <w:rPr>
          <w:rFonts w:asciiTheme="minorHAnsi" w:hAnsiTheme="minorHAnsi" w:cstheme="minorHAnsi"/>
        </w:rPr>
        <w:t xml:space="preserve"> da </w:t>
      </w:r>
      <w:proofErr w:type="spellStart"/>
      <w:r w:rsidRPr="00F255B8">
        <w:rPr>
          <w:rFonts w:asciiTheme="minorHAnsi" w:hAnsiTheme="minorHAnsi" w:cstheme="minorHAnsi"/>
        </w:rPr>
        <w:t>fusnota</w:t>
      </w:r>
      <w:proofErr w:type="spellEnd"/>
      <w:r w:rsidRPr="00F255B8">
        <w:rPr>
          <w:rFonts w:asciiTheme="minorHAnsi" w:hAnsiTheme="minorHAnsi" w:cstheme="minorHAnsi"/>
        </w:rPr>
        <w:t xml:space="preserve"> 44 CEEAG-a </w:t>
      </w:r>
      <w:proofErr w:type="spellStart"/>
      <w:r w:rsidRPr="00F255B8">
        <w:rPr>
          <w:rFonts w:asciiTheme="minorHAnsi" w:hAnsiTheme="minorHAnsi" w:cstheme="minorHAnsi"/>
        </w:rPr>
        <w:t>navodi</w:t>
      </w:r>
      <w:proofErr w:type="spellEnd"/>
      <w:r w:rsidRPr="00F255B8">
        <w:rPr>
          <w:rFonts w:asciiTheme="minorHAnsi" w:hAnsiTheme="minorHAnsi" w:cstheme="minorHAnsi"/>
        </w:rPr>
        <w:t xml:space="preserve"> da:</w:t>
      </w:r>
    </w:p>
    <w:p w14:paraId="295BE63B" w14:textId="77777777" w:rsidR="00C9629B" w:rsidRPr="00F255B8" w:rsidRDefault="00C9629B" w:rsidP="00C9629B">
      <w:pPr>
        <w:pStyle w:val="FootnoteText"/>
        <w:spacing w:before="0" w:after="0"/>
        <w:ind w:left="0" w:firstLine="0"/>
        <w:rPr>
          <w:rFonts w:asciiTheme="minorHAnsi" w:hAnsiTheme="minorHAnsi" w:cstheme="minorHAnsi"/>
          <w:i/>
          <w:lang w:val="sr-Latn-RS"/>
        </w:rPr>
      </w:pPr>
      <w:r w:rsidRPr="00F255B8">
        <w:rPr>
          <w:rFonts w:asciiTheme="minorHAnsi" w:hAnsiTheme="minorHAnsi" w:cstheme="minorHAnsi"/>
          <w:i/>
        </w:rPr>
        <w:t>„</w:t>
      </w:r>
      <w:proofErr w:type="spellStart"/>
      <w:r w:rsidRPr="00F255B8">
        <w:rPr>
          <w:rFonts w:asciiTheme="minorHAnsi" w:hAnsiTheme="minorHAnsi" w:cstheme="minorHAnsi"/>
          <w:i/>
        </w:rPr>
        <w:t>Prilikom</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procene</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jedinica</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zaštite</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životne</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sredine</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države</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članice</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mogu</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na</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primjer</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razviti</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metodologiju</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koja</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uzima</w:t>
      </w:r>
      <w:proofErr w:type="spellEnd"/>
      <w:r w:rsidRPr="00F255B8">
        <w:rPr>
          <w:rFonts w:asciiTheme="minorHAnsi" w:hAnsiTheme="minorHAnsi" w:cstheme="minorHAnsi"/>
          <w:i/>
        </w:rPr>
        <w:t xml:space="preserve"> u </w:t>
      </w:r>
      <w:proofErr w:type="spellStart"/>
      <w:r w:rsidRPr="00F255B8">
        <w:rPr>
          <w:rFonts w:asciiTheme="minorHAnsi" w:hAnsiTheme="minorHAnsi" w:cstheme="minorHAnsi"/>
          <w:i/>
        </w:rPr>
        <w:t>obzir</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emisije</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ili</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druga</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zagađenja</w:t>
      </w:r>
      <w:proofErr w:type="spellEnd"/>
      <w:r w:rsidRPr="00F255B8">
        <w:rPr>
          <w:rFonts w:asciiTheme="minorHAnsi" w:hAnsiTheme="minorHAnsi" w:cstheme="minorHAnsi"/>
          <w:i/>
        </w:rPr>
        <w:t xml:space="preserve"> u </w:t>
      </w:r>
      <w:proofErr w:type="spellStart"/>
      <w:r w:rsidRPr="00F255B8">
        <w:rPr>
          <w:rFonts w:asciiTheme="minorHAnsi" w:hAnsiTheme="minorHAnsi" w:cstheme="minorHAnsi"/>
          <w:i/>
        </w:rPr>
        <w:t>različitim</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fazama</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ekonomske</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djelatnosti</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kojoj</w:t>
      </w:r>
      <w:proofErr w:type="spellEnd"/>
      <w:r w:rsidRPr="00F255B8">
        <w:rPr>
          <w:rFonts w:asciiTheme="minorHAnsi" w:hAnsiTheme="minorHAnsi" w:cstheme="minorHAnsi"/>
          <w:i/>
        </w:rPr>
        <w:t xml:space="preserve"> se </w:t>
      </w:r>
      <w:proofErr w:type="spellStart"/>
      <w:r w:rsidRPr="00F255B8">
        <w:rPr>
          <w:rFonts w:asciiTheme="minorHAnsi" w:hAnsiTheme="minorHAnsi" w:cstheme="minorHAnsi"/>
          <w:i/>
        </w:rPr>
        <w:t>pruža</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pomoc</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vrijeme</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potrebno</w:t>
      </w:r>
      <w:proofErr w:type="spellEnd"/>
      <w:r w:rsidRPr="00F255B8">
        <w:rPr>
          <w:rFonts w:asciiTheme="minorHAnsi" w:hAnsiTheme="minorHAnsi" w:cstheme="minorHAnsi"/>
          <w:i/>
        </w:rPr>
        <w:t xml:space="preserve"> za </w:t>
      </w:r>
      <w:proofErr w:type="spellStart"/>
      <w:r w:rsidRPr="00F255B8">
        <w:rPr>
          <w:rFonts w:asciiTheme="minorHAnsi" w:hAnsiTheme="minorHAnsi" w:cstheme="minorHAnsi"/>
          <w:i/>
        </w:rPr>
        <w:t>sprovođenje</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projekta</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ili</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troškove</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integracije</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sistema</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Prilikom</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određivanja</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odnosa</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između</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doprinosa</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glavnim</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ciljevima</w:t>
      </w:r>
      <w:proofErr w:type="spellEnd"/>
      <w:r w:rsidRPr="00F255B8">
        <w:rPr>
          <w:rFonts w:asciiTheme="minorHAnsi" w:hAnsiTheme="minorHAnsi" w:cstheme="minorHAnsi"/>
          <w:i/>
        </w:rPr>
        <w:t xml:space="preserve"> i </w:t>
      </w:r>
      <w:proofErr w:type="spellStart"/>
      <w:r w:rsidRPr="00F255B8">
        <w:rPr>
          <w:rFonts w:asciiTheme="minorHAnsi" w:hAnsiTheme="minorHAnsi" w:cstheme="minorHAnsi"/>
          <w:i/>
        </w:rPr>
        <w:t>iznosa</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tražene</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pomoći</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države</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članice</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mogu</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na</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primjer</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ponderisati</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različite</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objektivne</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kriterijume</w:t>
      </w:r>
      <w:proofErr w:type="spellEnd"/>
      <w:r w:rsidRPr="00F255B8">
        <w:rPr>
          <w:rFonts w:asciiTheme="minorHAnsi" w:hAnsiTheme="minorHAnsi" w:cstheme="minorHAnsi"/>
          <w:i/>
        </w:rPr>
        <w:t xml:space="preserve"> i </w:t>
      </w:r>
      <w:proofErr w:type="spellStart"/>
      <w:r w:rsidRPr="00F255B8">
        <w:rPr>
          <w:rFonts w:asciiTheme="minorHAnsi" w:hAnsiTheme="minorHAnsi" w:cstheme="minorHAnsi"/>
          <w:i/>
        </w:rPr>
        <w:t>izabrati</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na</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osnovu</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iznosa</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pomoći</w:t>
      </w:r>
      <w:proofErr w:type="spellEnd"/>
      <w:r w:rsidRPr="00F255B8">
        <w:rPr>
          <w:rFonts w:asciiTheme="minorHAnsi" w:hAnsiTheme="minorHAnsi" w:cstheme="minorHAnsi"/>
          <w:i/>
        </w:rPr>
        <w:t xml:space="preserve"> po </w:t>
      </w:r>
      <w:proofErr w:type="spellStart"/>
      <w:r w:rsidRPr="00F255B8">
        <w:rPr>
          <w:rFonts w:asciiTheme="minorHAnsi" w:hAnsiTheme="minorHAnsi" w:cstheme="minorHAnsi"/>
          <w:i/>
        </w:rPr>
        <w:t>jedinici</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ponderisani</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prosjek</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objektivnih</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kriterijuma</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ili</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izabrati</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iz</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ograničenog</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skupa</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ponuda</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sa</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najnižim</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iznosom</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pomoći</w:t>
      </w:r>
      <w:proofErr w:type="spellEnd"/>
      <w:r w:rsidRPr="00F255B8">
        <w:rPr>
          <w:rFonts w:asciiTheme="minorHAnsi" w:hAnsiTheme="minorHAnsi" w:cstheme="minorHAnsi"/>
          <w:i/>
        </w:rPr>
        <w:t xml:space="preserve"> po </w:t>
      </w:r>
      <w:proofErr w:type="spellStart"/>
      <w:r w:rsidRPr="00F255B8">
        <w:rPr>
          <w:rFonts w:asciiTheme="minorHAnsi" w:hAnsiTheme="minorHAnsi" w:cstheme="minorHAnsi"/>
          <w:i/>
        </w:rPr>
        <w:t>jedinici</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objektivnih</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kriterijuma</w:t>
      </w:r>
      <w:proofErr w:type="spellEnd"/>
      <w:r w:rsidRPr="00F255B8">
        <w:rPr>
          <w:rFonts w:asciiTheme="minorHAnsi" w:hAnsiTheme="minorHAnsi" w:cstheme="minorHAnsi"/>
          <w:i/>
        </w:rPr>
        <w:t xml:space="preserve"> one </w:t>
      </w:r>
      <w:proofErr w:type="spellStart"/>
      <w:r w:rsidRPr="00F255B8">
        <w:rPr>
          <w:rFonts w:asciiTheme="minorHAnsi" w:hAnsiTheme="minorHAnsi" w:cstheme="minorHAnsi"/>
          <w:i/>
        </w:rPr>
        <w:t>sa</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najvišim</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ocjenama</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na</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objektivnim</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kriterijumima</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Parametri</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svakog</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takvog</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pristupa</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moraju</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biti</w:t>
      </w:r>
      <w:proofErr w:type="spellEnd"/>
      <w:r w:rsidRPr="00F255B8">
        <w:rPr>
          <w:rFonts w:asciiTheme="minorHAnsi" w:hAnsiTheme="minorHAnsi" w:cstheme="minorHAnsi"/>
          <w:i/>
        </w:rPr>
        <w:t xml:space="preserve"> </w:t>
      </w:r>
      <w:proofErr w:type="spellStart"/>
      <w:r>
        <w:rPr>
          <w:rFonts w:asciiTheme="minorHAnsi" w:hAnsiTheme="minorHAnsi" w:cstheme="minorHAnsi"/>
          <w:i/>
        </w:rPr>
        <w:t>precizno</w:t>
      </w:r>
      <w:proofErr w:type="spellEnd"/>
      <w:r>
        <w:rPr>
          <w:rFonts w:asciiTheme="minorHAnsi" w:hAnsiTheme="minorHAnsi" w:cstheme="minorHAnsi"/>
          <w:i/>
        </w:rPr>
        <w:t xml:space="preserve"> </w:t>
      </w:r>
      <w:proofErr w:type="spellStart"/>
      <w:r>
        <w:rPr>
          <w:rFonts w:asciiTheme="minorHAnsi" w:hAnsiTheme="minorHAnsi" w:cstheme="minorHAnsi"/>
          <w:i/>
        </w:rPr>
        <w:t>određeni</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kako</w:t>
      </w:r>
      <w:proofErr w:type="spellEnd"/>
      <w:r w:rsidRPr="00F255B8">
        <w:rPr>
          <w:rFonts w:asciiTheme="minorHAnsi" w:hAnsiTheme="minorHAnsi" w:cstheme="minorHAnsi"/>
          <w:i/>
        </w:rPr>
        <w:t xml:space="preserve"> bi se </w:t>
      </w:r>
      <w:proofErr w:type="spellStart"/>
      <w:r w:rsidRPr="00F255B8">
        <w:rPr>
          <w:rFonts w:asciiTheme="minorHAnsi" w:hAnsiTheme="minorHAnsi" w:cstheme="minorHAnsi"/>
          <w:i/>
        </w:rPr>
        <w:t>osiguralo</w:t>
      </w:r>
      <w:proofErr w:type="spellEnd"/>
      <w:r w:rsidRPr="00F255B8">
        <w:rPr>
          <w:rFonts w:asciiTheme="minorHAnsi" w:hAnsiTheme="minorHAnsi" w:cstheme="minorHAnsi"/>
          <w:i/>
        </w:rPr>
        <w:t xml:space="preserve"> da </w:t>
      </w:r>
      <w:proofErr w:type="spellStart"/>
      <w:r w:rsidRPr="00F255B8">
        <w:rPr>
          <w:rFonts w:asciiTheme="minorHAnsi" w:hAnsiTheme="minorHAnsi" w:cstheme="minorHAnsi"/>
          <w:i/>
        </w:rPr>
        <w:t>postupak</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tendera</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ostane</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nediskriminatoran</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efikasno</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konkurentan</w:t>
      </w:r>
      <w:proofErr w:type="spellEnd"/>
      <w:r w:rsidRPr="00F255B8">
        <w:rPr>
          <w:rFonts w:asciiTheme="minorHAnsi" w:hAnsiTheme="minorHAnsi" w:cstheme="minorHAnsi"/>
          <w:i/>
        </w:rPr>
        <w:t xml:space="preserve"> i da </w:t>
      </w:r>
      <w:proofErr w:type="spellStart"/>
      <w:r w:rsidRPr="00F255B8">
        <w:rPr>
          <w:rFonts w:asciiTheme="minorHAnsi" w:hAnsiTheme="minorHAnsi" w:cstheme="minorHAnsi"/>
          <w:i/>
        </w:rPr>
        <w:t>odražava</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ekonomsku</w:t>
      </w:r>
      <w:proofErr w:type="spellEnd"/>
      <w:r w:rsidRPr="00F255B8">
        <w:rPr>
          <w:rFonts w:asciiTheme="minorHAnsi" w:hAnsiTheme="minorHAnsi" w:cstheme="minorHAnsi"/>
          <w:i/>
        </w:rPr>
        <w:t xml:space="preserve"> </w:t>
      </w:r>
      <w:proofErr w:type="spellStart"/>
      <w:r w:rsidRPr="00F255B8">
        <w:rPr>
          <w:rFonts w:asciiTheme="minorHAnsi" w:hAnsiTheme="minorHAnsi" w:cstheme="minorHAnsi"/>
          <w:i/>
        </w:rPr>
        <w:t>vrijednost</w:t>
      </w:r>
      <w:proofErr w:type="spellEnd"/>
      <w:r w:rsidRPr="00F255B8">
        <w:rPr>
          <w:rFonts w:asciiTheme="minorHAnsi" w:hAnsiTheme="minorHAnsi" w:cstheme="minorHAnsi"/>
          <w:i/>
        </w:rPr>
        <w:t>.“</w:t>
      </w:r>
    </w:p>
  </w:footnote>
  <w:footnote w:id="15">
    <w:p w14:paraId="459C33BC" w14:textId="77777777" w:rsidR="00C9629B" w:rsidRPr="00746E88" w:rsidRDefault="00C9629B" w:rsidP="00C9629B">
      <w:pPr>
        <w:pStyle w:val="FootnoteText"/>
        <w:spacing w:before="0" w:after="0"/>
        <w:ind w:left="0" w:firstLine="0"/>
        <w:contextualSpacing/>
        <w:rPr>
          <w:rFonts w:asciiTheme="minorHAnsi" w:hAnsiTheme="minorHAnsi" w:cstheme="minorHAnsi"/>
        </w:rPr>
      </w:pPr>
      <w:r w:rsidRPr="00746E88">
        <w:rPr>
          <w:rStyle w:val="FootnoteReference"/>
          <w:rFonts w:asciiTheme="minorHAnsi" w:hAnsiTheme="minorHAnsi" w:cstheme="minorHAnsi"/>
        </w:rPr>
        <w:footnoteRef/>
      </w:r>
      <w:r>
        <w:rPr>
          <w:rFonts w:asciiTheme="minorHAnsi" w:hAnsiTheme="minorHAnsi" w:cstheme="minorHAnsi"/>
        </w:rPr>
        <w:t xml:space="preserve"> </w:t>
      </w:r>
      <w:proofErr w:type="spellStart"/>
      <w:r w:rsidRPr="00746E88">
        <w:rPr>
          <w:rFonts w:asciiTheme="minorHAnsi" w:hAnsiTheme="minorHAnsi" w:cstheme="minorHAnsi"/>
        </w:rPr>
        <w:t>Finansijska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sredstva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Unije</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kojima</w:t>
      </w:r>
      <w:proofErr w:type="spellEnd"/>
      <w:r w:rsidRPr="00746E88">
        <w:rPr>
          <w:rFonts w:asciiTheme="minorHAnsi" w:hAnsiTheme="minorHAnsi" w:cstheme="minorHAnsi"/>
        </w:rPr>
        <w:t xml:space="preserve"> se </w:t>
      </w:r>
      <w:proofErr w:type="spellStart"/>
      <w:r w:rsidRPr="00746E88">
        <w:rPr>
          <w:rFonts w:asciiTheme="minorHAnsi" w:hAnsiTheme="minorHAnsi" w:cstheme="minorHAnsi"/>
        </w:rPr>
        <w:t>centralizovano</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upravlja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su</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finansijska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sredstva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Unije</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kojima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upravljaju</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institucije</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agencije</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zajedni</w:t>
      </w:r>
      <w:r>
        <w:rPr>
          <w:rFonts w:asciiTheme="minorHAnsi" w:hAnsiTheme="minorHAnsi" w:cstheme="minorHAnsi"/>
        </w:rPr>
        <w:t>čka</w:t>
      </w:r>
      <w:proofErr w:type="spellEnd"/>
      <w:r>
        <w:rPr>
          <w:rFonts w:asciiTheme="minorHAnsi" w:hAnsiTheme="minorHAnsi" w:cstheme="minorHAnsi"/>
        </w:rPr>
        <w:t xml:space="preserve"> </w:t>
      </w:r>
      <w:proofErr w:type="spellStart"/>
      <w:r>
        <w:rPr>
          <w:rFonts w:asciiTheme="minorHAnsi" w:hAnsiTheme="minorHAnsi" w:cstheme="minorHAnsi"/>
        </w:rPr>
        <w:t>privredna</w:t>
      </w:r>
      <w:proofErr w:type="spellEnd"/>
      <w:r>
        <w:rPr>
          <w:rFonts w:asciiTheme="minorHAnsi" w:hAnsiTheme="minorHAnsi" w:cstheme="minorHAnsi"/>
        </w:rPr>
        <w:t xml:space="preserve"> </w:t>
      </w:r>
      <w:proofErr w:type="spellStart"/>
      <w:r>
        <w:rPr>
          <w:rFonts w:asciiTheme="minorHAnsi" w:hAnsiTheme="minorHAnsi" w:cstheme="minorHAnsi"/>
        </w:rPr>
        <w:t>društva</w:t>
      </w:r>
      <w:proofErr w:type="spellEnd"/>
      <w:r>
        <w:rPr>
          <w:rFonts w:asciiTheme="minorHAnsi" w:hAnsiTheme="minorHAnsi" w:cstheme="minorHAnsi"/>
        </w:rPr>
        <w:t xml:space="preserve"> </w:t>
      </w:r>
      <w:proofErr w:type="spellStart"/>
      <w:r>
        <w:rPr>
          <w:rFonts w:asciiTheme="minorHAnsi" w:hAnsiTheme="minorHAnsi" w:cstheme="minorHAnsi"/>
        </w:rPr>
        <w:t>ili</w:t>
      </w:r>
      <w:proofErr w:type="spellEnd"/>
      <w:r>
        <w:rPr>
          <w:rFonts w:asciiTheme="minorHAnsi" w:hAnsiTheme="minorHAnsi" w:cstheme="minorHAnsi"/>
        </w:rPr>
        <w:t xml:space="preserve"> </w:t>
      </w:r>
      <w:proofErr w:type="spellStart"/>
      <w:r>
        <w:rPr>
          <w:rFonts w:asciiTheme="minorHAnsi" w:hAnsiTheme="minorHAnsi" w:cstheme="minorHAnsi"/>
        </w:rPr>
        <w:t>ostali</w:t>
      </w:r>
      <w:proofErr w:type="spellEnd"/>
      <w:r w:rsidRPr="00746E88">
        <w:rPr>
          <w:rFonts w:asciiTheme="minorHAnsi" w:hAnsiTheme="minorHAnsi" w:cstheme="minorHAnsi"/>
        </w:rPr>
        <w:t xml:space="preserve"> </w:t>
      </w:r>
      <w:proofErr w:type="spellStart"/>
      <w:r>
        <w:rPr>
          <w:rFonts w:asciiTheme="minorHAnsi" w:hAnsiTheme="minorHAnsi" w:cstheme="minorHAnsi"/>
          <w:lang w:val="en-US"/>
        </w:rPr>
        <w:t>organi</w:t>
      </w:r>
      <w:proofErr w:type="spellEnd"/>
      <w:r>
        <w:rPr>
          <w:rFonts w:asciiTheme="minorHAnsi" w:hAnsiTheme="minorHAnsi" w:cstheme="minorHAnsi"/>
        </w:rPr>
        <w:t xml:space="preserve"> </w:t>
      </w:r>
      <w:proofErr w:type="spellStart"/>
      <w:r>
        <w:rPr>
          <w:rFonts w:asciiTheme="minorHAnsi" w:hAnsiTheme="minorHAnsi" w:cstheme="minorHAnsi"/>
        </w:rPr>
        <w:t>Ev</w:t>
      </w:r>
      <w:r w:rsidRPr="00746E88">
        <w:rPr>
          <w:rFonts w:asciiTheme="minorHAnsi" w:hAnsiTheme="minorHAnsi" w:cstheme="minorHAnsi"/>
        </w:rPr>
        <w:t>ropske</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unije</w:t>
      </w:r>
      <w:proofErr w:type="spellEnd"/>
      <w:r w:rsidRPr="00746E88">
        <w:rPr>
          <w:rFonts w:asciiTheme="minorHAnsi" w:hAnsiTheme="minorHAnsi" w:cstheme="minorHAnsi"/>
        </w:rPr>
        <w:t xml:space="preserve"> i </w:t>
      </w:r>
      <w:proofErr w:type="spellStart"/>
      <w:r w:rsidRPr="00746E88">
        <w:rPr>
          <w:rFonts w:asciiTheme="minorHAnsi" w:hAnsiTheme="minorHAnsi" w:cstheme="minorHAnsi"/>
        </w:rPr>
        <w:t>koja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nisu</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direktno</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ili</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indirektno</w:t>
      </w:r>
      <w:proofErr w:type="spellEnd"/>
      <w:r w:rsidRPr="00746E88">
        <w:rPr>
          <w:rFonts w:asciiTheme="minorHAnsi" w:hAnsiTheme="minorHAnsi" w:cstheme="minorHAnsi"/>
        </w:rPr>
        <w:t xml:space="preserve"> pod </w:t>
      </w:r>
      <w:proofErr w:type="spellStart"/>
      <w:r w:rsidRPr="00746E88">
        <w:rPr>
          <w:rFonts w:asciiTheme="minorHAnsi" w:hAnsiTheme="minorHAnsi" w:cstheme="minorHAnsi"/>
        </w:rPr>
        <w:t>kontrolom</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država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članica</w:t>
      </w:r>
      <w:proofErr w:type="spellEnd"/>
      <w:r w:rsidRPr="00746E88">
        <w:rPr>
          <w:rFonts w:asciiTheme="minorHAnsi" w:hAnsiTheme="minorHAnsi" w:cstheme="minorHAnsi"/>
        </w:rPr>
        <w:t>.</w:t>
      </w:r>
    </w:p>
  </w:footnote>
  <w:footnote w:id="16">
    <w:p w14:paraId="14798605" w14:textId="77777777" w:rsidR="00C9629B" w:rsidRPr="004E7C48" w:rsidRDefault="00C9629B" w:rsidP="00C9629B">
      <w:pPr>
        <w:pStyle w:val="FootnoteText"/>
        <w:spacing w:before="0" w:after="0"/>
        <w:ind w:left="0" w:firstLine="0"/>
        <w:contextualSpacing/>
        <w:rPr>
          <w:rFonts w:asciiTheme="minorHAnsi" w:hAnsiTheme="minorHAnsi" w:cstheme="minorHAnsi"/>
        </w:rPr>
      </w:pPr>
      <w:r w:rsidRPr="004E7C48">
        <w:rPr>
          <w:rStyle w:val="FootnoteReference"/>
          <w:rFonts w:asciiTheme="minorHAnsi" w:hAnsiTheme="minorHAnsi" w:cstheme="minorHAnsi"/>
        </w:rPr>
        <w:footnoteRef/>
      </w:r>
      <w:r>
        <w:rPr>
          <w:rFonts w:asciiTheme="minorHAnsi" w:hAnsiTheme="minorHAnsi" w:cstheme="minorHAnsi"/>
        </w:rPr>
        <w:t xml:space="preserve"> </w:t>
      </w:r>
      <w:proofErr w:type="spellStart"/>
      <w:r w:rsidRPr="004E7C48">
        <w:rPr>
          <w:rFonts w:asciiTheme="minorHAnsi" w:hAnsiTheme="minorHAnsi" w:cstheme="minorHAnsi"/>
        </w:rPr>
        <w:t>Regulativa</w:t>
      </w:r>
      <w:proofErr w:type="spellEnd"/>
      <w:r w:rsidRPr="004E7C48">
        <w:rPr>
          <w:rFonts w:asciiTheme="minorHAnsi" w:hAnsiTheme="minorHAnsi" w:cstheme="minorHAnsi"/>
        </w:rPr>
        <w:t xml:space="preserve"> (EU) 2020/852 </w:t>
      </w:r>
      <w:proofErr w:type="spellStart"/>
      <w:r w:rsidRPr="004E7C48">
        <w:rPr>
          <w:rFonts w:asciiTheme="minorHAnsi" w:hAnsiTheme="minorHAnsi" w:cstheme="minorHAnsi"/>
        </w:rPr>
        <w:t>Evropskog</w:t>
      </w:r>
      <w:proofErr w:type="spellEnd"/>
      <w:r w:rsidRPr="004E7C48">
        <w:rPr>
          <w:rFonts w:asciiTheme="minorHAnsi" w:hAnsiTheme="minorHAnsi" w:cstheme="minorHAnsi"/>
        </w:rPr>
        <w:t xml:space="preserve"> </w:t>
      </w:r>
      <w:proofErr w:type="spellStart"/>
      <w:r w:rsidRPr="004E7C48">
        <w:rPr>
          <w:rFonts w:asciiTheme="minorHAnsi" w:hAnsiTheme="minorHAnsi" w:cstheme="minorHAnsi"/>
        </w:rPr>
        <w:t>parlamenta</w:t>
      </w:r>
      <w:proofErr w:type="spellEnd"/>
      <w:r w:rsidRPr="004E7C48">
        <w:rPr>
          <w:rFonts w:asciiTheme="minorHAnsi" w:hAnsiTheme="minorHAnsi" w:cstheme="minorHAnsi"/>
        </w:rPr>
        <w:t xml:space="preserve"> i </w:t>
      </w:r>
      <w:proofErr w:type="spellStart"/>
      <w:r w:rsidRPr="004E7C48">
        <w:rPr>
          <w:rFonts w:asciiTheme="minorHAnsi" w:hAnsiTheme="minorHAnsi" w:cstheme="minorHAnsi"/>
        </w:rPr>
        <w:t>Savjeta</w:t>
      </w:r>
      <w:proofErr w:type="spellEnd"/>
      <w:r w:rsidRPr="004E7C48">
        <w:rPr>
          <w:rFonts w:asciiTheme="minorHAnsi" w:hAnsiTheme="minorHAnsi" w:cstheme="minorHAnsi"/>
        </w:rPr>
        <w:t xml:space="preserve"> od 18. </w:t>
      </w:r>
      <w:proofErr w:type="spellStart"/>
      <w:r w:rsidRPr="004E7C48">
        <w:rPr>
          <w:rFonts w:asciiTheme="minorHAnsi" w:hAnsiTheme="minorHAnsi" w:cstheme="minorHAnsi"/>
        </w:rPr>
        <w:t>juna</w:t>
      </w:r>
      <w:proofErr w:type="spellEnd"/>
      <w:r w:rsidRPr="004E7C48">
        <w:rPr>
          <w:rFonts w:asciiTheme="minorHAnsi" w:hAnsiTheme="minorHAnsi" w:cstheme="minorHAnsi"/>
        </w:rPr>
        <w:t xml:space="preserve"> 2020. </w:t>
      </w:r>
      <w:proofErr w:type="spellStart"/>
      <w:r w:rsidRPr="004E7C48">
        <w:rPr>
          <w:rFonts w:asciiTheme="minorHAnsi" w:hAnsiTheme="minorHAnsi" w:cstheme="minorHAnsi"/>
        </w:rPr>
        <w:t>godine</w:t>
      </w:r>
      <w:proofErr w:type="spellEnd"/>
      <w:r w:rsidRPr="004E7C48">
        <w:rPr>
          <w:rFonts w:asciiTheme="minorHAnsi" w:hAnsiTheme="minorHAnsi" w:cstheme="minorHAnsi"/>
        </w:rPr>
        <w:t xml:space="preserve"> o </w:t>
      </w:r>
      <w:proofErr w:type="spellStart"/>
      <w:r w:rsidRPr="004E7C48">
        <w:rPr>
          <w:rFonts w:asciiTheme="minorHAnsi" w:hAnsiTheme="minorHAnsi" w:cstheme="minorHAnsi"/>
        </w:rPr>
        <w:t>uspostavljanju</w:t>
      </w:r>
      <w:proofErr w:type="spellEnd"/>
      <w:r w:rsidRPr="004E7C48">
        <w:rPr>
          <w:rFonts w:asciiTheme="minorHAnsi" w:hAnsiTheme="minorHAnsi" w:cstheme="minorHAnsi"/>
        </w:rPr>
        <w:t xml:space="preserve"> </w:t>
      </w:r>
      <w:proofErr w:type="spellStart"/>
      <w:r w:rsidRPr="004E7C48">
        <w:rPr>
          <w:rFonts w:asciiTheme="minorHAnsi" w:hAnsiTheme="minorHAnsi" w:cstheme="minorHAnsi"/>
        </w:rPr>
        <w:t>okvira</w:t>
      </w:r>
      <w:proofErr w:type="spellEnd"/>
      <w:r w:rsidRPr="004E7C48">
        <w:rPr>
          <w:rFonts w:asciiTheme="minorHAnsi" w:hAnsiTheme="minorHAnsi" w:cstheme="minorHAnsi"/>
        </w:rPr>
        <w:t xml:space="preserve"> za </w:t>
      </w:r>
      <w:proofErr w:type="spellStart"/>
      <w:r w:rsidRPr="004E7C48">
        <w:rPr>
          <w:rFonts w:asciiTheme="minorHAnsi" w:hAnsiTheme="minorHAnsi" w:cstheme="minorHAnsi"/>
        </w:rPr>
        <w:t>olakšavanje</w:t>
      </w:r>
      <w:proofErr w:type="spellEnd"/>
      <w:r w:rsidRPr="004E7C48">
        <w:rPr>
          <w:rFonts w:asciiTheme="minorHAnsi" w:hAnsiTheme="minorHAnsi" w:cstheme="minorHAnsi"/>
        </w:rPr>
        <w:t xml:space="preserve"> </w:t>
      </w:r>
      <w:proofErr w:type="spellStart"/>
      <w:r w:rsidRPr="004E7C48">
        <w:rPr>
          <w:rFonts w:asciiTheme="minorHAnsi" w:hAnsiTheme="minorHAnsi" w:cstheme="minorHAnsi"/>
        </w:rPr>
        <w:t>održivih</w:t>
      </w:r>
      <w:proofErr w:type="spellEnd"/>
      <w:r w:rsidRPr="004E7C48">
        <w:rPr>
          <w:rFonts w:asciiTheme="minorHAnsi" w:hAnsiTheme="minorHAnsi" w:cstheme="minorHAnsi"/>
        </w:rPr>
        <w:t xml:space="preserve"> </w:t>
      </w:r>
      <w:proofErr w:type="spellStart"/>
      <w:r w:rsidRPr="004E7C48">
        <w:rPr>
          <w:rFonts w:asciiTheme="minorHAnsi" w:hAnsiTheme="minorHAnsi" w:cstheme="minorHAnsi"/>
        </w:rPr>
        <w:t>ulaganja</w:t>
      </w:r>
      <w:proofErr w:type="spellEnd"/>
      <w:r w:rsidRPr="004E7C48">
        <w:rPr>
          <w:rFonts w:asciiTheme="minorHAnsi" w:hAnsiTheme="minorHAnsi" w:cstheme="minorHAnsi"/>
        </w:rPr>
        <w:t xml:space="preserve"> i </w:t>
      </w:r>
      <w:proofErr w:type="spellStart"/>
      <w:r w:rsidRPr="004E7C48">
        <w:rPr>
          <w:rFonts w:asciiTheme="minorHAnsi" w:hAnsiTheme="minorHAnsi" w:cstheme="minorHAnsi"/>
        </w:rPr>
        <w:t>izmjeni</w:t>
      </w:r>
      <w:proofErr w:type="spellEnd"/>
      <w:r w:rsidRPr="004E7C48">
        <w:rPr>
          <w:rFonts w:asciiTheme="minorHAnsi" w:hAnsiTheme="minorHAnsi" w:cstheme="minorHAnsi"/>
        </w:rPr>
        <w:t xml:space="preserve"> Regulative (EU) 2019/2088 (SL L 198, 22.6.2020., str. 13.).</w:t>
      </w:r>
    </w:p>
  </w:footnote>
  <w:footnote w:id="17">
    <w:p w14:paraId="151735AD" w14:textId="77777777" w:rsidR="00C9629B" w:rsidRPr="00CF23C3" w:rsidRDefault="00C9629B" w:rsidP="00C9629B">
      <w:pPr>
        <w:pStyle w:val="FootnoteText"/>
        <w:spacing w:before="0"/>
        <w:ind w:left="0" w:firstLine="0"/>
        <w:contextualSpacing/>
        <w:rPr>
          <w:rFonts w:asciiTheme="minorHAnsi" w:hAnsiTheme="minorHAnsi" w:cstheme="minorHAnsi"/>
        </w:rPr>
      </w:pPr>
      <w:r w:rsidRPr="004E7C48">
        <w:rPr>
          <w:rStyle w:val="FootnoteReference"/>
          <w:rFonts w:asciiTheme="minorHAnsi" w:hAnsiTheme="minorHAnsi" w:cstheme="minorHAnsi"/>
        </w:rPr>
        <w:footnoteRef/>
      </w:r>
      <w:r>
        <w:rPr>
          <w:rFonts w:asciiTheme="minorHAnsi" w:hAnsiTheme="minorHAnsi" w:cstheme="minorHAnsi"/>
        </w:rPr>
        <w:t xml:space="preserve"> </w:t>
      </w:r>
      <w:r w:rsidRPr="004E7C48">
        <w:rPr>
          <w:rFonts w:asciiTheme="minorHAnsi" w:hAnsiTheme="minorHAnsi" w:cstheme="minorHAnsi"/>
        </w:rPr>
        <w:t xml:space="preserve">Model </w:t>
      </w:r>
      <w:proofErr w:type="spellStart"/>
      <w:r w:rsidRPr="004E7C48">
        <w:rPr>
          <w:rFonts w:asciiTheme="minorHAnsi" w:hAnsiTheme="minorHAnsi" w:cstheme="minorHAnsi"/>
        </w:rPr>
        <w:t>obrasca</w:t>
      </w:r>
      <w:proofErr w:type="spellEnd"/>
      <w:r w:rsidRPr="004E7C48">
        <w:rPr>
          <w:rFonts w:asciiTheme="minorHAnsi" w:hAnsiTheme="minorHAnsi" w:cstheme="minorHAnsi"/>
        </w:rPr>
        <w:t xml:space="preserve"> o </w:t>
      </w:r>
      <w:proofErr w:type="spellStart"/>
      <w:r w:rsidRPr="004E7C48">
        <w:rPr>
          <w:rFonts w:asciiTheme="minorHAnsi" w:hAnsiTheme="minorHAnsi" w:cstheme="minorHAnsi"/>
        </w:rPr>
        <w:t>dodatnim</w:t>
      </w:r>
      <w:proofErr w:type="spellEnd"/>
      <w:r w:rsidRPr="004E7C48">
        <w:rPr>
          <w:rFonts w:asciiTheme="minorHAnsi" w:hAnsiTheme="minorHAnsi" w:cstheme="minorHAnsi"/>
        </w:rPr>
        <w:t xml:space="preserve"> </w:t>
      </w:r>
      <w:proofErr w:type="spellStart"/>
      <w:r w:rsidRPr="004E7C48">
        <w:rPr>
          <w:rFonts w:asciiTheme="minorHAnsi" w:hAnsiTheme="minorHAnsi" w:cstheme="minorHAnsi"/>
        </w:rPr>
        <w:t>podacima</w:t>
      </w:r>
      <w:proofErr w:type="spellEnd"/>
      <w:r w:rsidRPr="004E7C48">
        <w:rPr>
          <w:rFonts w:asciiTheme="minorHAnsi" w:hAnsiTheme="minorHAnsi" w:cstheme="minorHAnsi"/>
        </w:rPr>
        <w:t xml:space="preserve"> za </w:t>
      </w:r>
      <w:proofErr w:type="spellStart"/>
      <w:r w:rsidRPr="004E7C48">
        <w:rPr>
          <w:rFonts w:asciiTheme="minorHAnsi" w:hAnsiTheme="minorHAnsi" w:cstheme="minorHAnsi"/>
        </w:rPr>
        <w:t>prijavu</w:t>
      </w:r>
      <w:proofErr w:type="spellEnd"/>
      <w:r w:rsidRPr="004E7C48">
        <w:rPr>
          <w:rFonts w:asciiTheme="minorHAnsi" w:hAnsiTheme="minorHAnsi" w:cstheme="minorHAnsi"/>
        </w:rPr>
        <w:t xml:space="preserve"> o </w:t>
      </w:r>
      <w:proofErr w:type="spellStart"/>
      <w:r w:rsidRPr="004E7C48">
        <w:rPr>
          <w:rFonts w:asciiTheme="minorHAnsi" w:hAnsiTheme="minorHAnsi" w:cstheme="minorHAnsi"/>
        </w:rPr>
        <w:t>planu</w:t>
      </w:r>
      <w:proofErr w:type="spellEnd"/>
      <w:r w:rsidRPr="004E7C48">
        <w:rPr>
          <w:rFonts w:asciiTheme="minorHAnsi" w:hAnsiTheme="minorHAnsi" w:cstheme="minorHAnsi"/>
        </w:rPr>
        <w:t xml:space="preserve"> </w:t>
      </w:r>
      <w:proofErr w:type="spellStart"/>
      <w:r w:rsidRPr="004E7C48">
        <w:rPr>
          <w:rFonts w:asciiTheme="minorHAnsi" w:hAnsiTheme="minorHAnsi" w:cstheme="minorHAnsi"/>
        </w:rPr>
        <w:t>evaluacije</w:t>
      </w:r>
      <w:proofErr w:type="spellEnd"/>
      <w:r w:rsidRPr="004E7C48">
        <w:rPr>
          <w:rFonts w:asciiTheme="minorHAnsi" w:hAnsiTheme="minorHAnsi" w:cstheme="minorHAnsi"/>
        </w:rPr>
        <w:t xml:space="preserve"> (</w:t>
      </w:r>
      <w:proofErr w:type="spellStart"/>
      <w:r w:rsidRPr="004E7C48">
        <w:rPr>
          <w:rFonts w:asciiTheme="minorHAnsi" w:hAnsiTheme="minorHAnsi" w:cstheme="minorHAnsi"/>
        </w:rPr>
        <w:t>dio</w:t>
      </w:r>
      <w:proofErr w:type="spellEnd"/>
      <w:r w:rsidRPr="004E7C48">
        <w:rPr>
          <w:rFonts w:asciiTheme="minorHAnsi" w:hAnsiTheme="minorHAnsi" w:cstheme="minorHAnsi"/>
        </w:rPr>
        <w:t xml:space="preserve"> III.8.) </w:t>
      </w:r>
      <w:proofErr w:type="spellStart"/>
      <w:r w:rsidRPr="004E7C48">
        <w:rPr>
          <w:rFonts w:asciiTheme="minorHAnsi" w:hAnsiTheme="minorHAnsi" w:cstheme="minorHAnsi"/>
        </w:rPr>
        <w:t>dostupan</w:t>
      </w:r>
      <w:proofErr w:type="spellEnd"/>
      <w:r w:rsidRPr="004E7C48">
        <w:rPr>
          <w:rFonts w:asciiTheme="minorHAnsi" w:hAnsiTheme="minorHAnsi" w:cstheme="minorHAnsi"/>
        </w:rPr>
        <w:t xml:space="preserve"> je ovdje:</w:t>
      </w:r>
      <w:hyperlink r:id="rId1" w:anchor="evaluation-plan" w:history="1">
        <w:r w:rsidRPr="004E7C48">
          <w:rPr>
            <w:rStyle w:val="Hyperlink"/>
            <w:rFonts w:asciiTheme="minorHAnsi" w:hAnsiTheme="minorHAnsi" w:cstheme="minorHAnsi"/>
          </w:rPr>
          <w:t>https://competition-policy.ec.europa.eu/state-aid/legislation/forms-notifications-and-reporting_en#evaluation-plan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3CA3"/>
    <w:multiLevelType w:val="hybridMultilevel"/>
    <w:tmpl w:val="6E567A44"/>
    <w:lvl w:ilvl="0" w:tplc="500079D6">
      <w:start w:val="1"/>
      <w:numFmt w:val="lowerRoman"/>
      <w:pStyle w:val="Stylei"/>
      <w:lvlText w:val="(%1)"/>
      <w:lvlJc w:val="left"/>
      <w:pPr>
        <w:ind w:left="2700" w:hanging="360"/>
      </w:pPr>
      <w:rPr>
        <w:rFonts w:ascii="Calibri" w:hAnsi="Calibri" w:cs="Calibri" w:hint="default"/>
        <w:sz w:val="22"/>
        <w:szCs w:val="22"/>
      </w:rPr>
    </w:lvl>
    <w:lvl w:ilvl="1" w:tplc="065A08CE">
      <w:start w:val="1"/>
      <w:numFmt w:val="lowerLetter"/>
      <w:lvlText w:val="(%2)"/>
      <w:lvlJc w:val="left"/>
      <w:pPr>
        <w:ind w:left="3420" w:hanging="360"/>
      </w:pPr>
      <w:rPr>
        <w:rFonts w:ascii="Calibri" w:hAnsi="Calibri" w:cs="Calibri" w:hint="default"/>
        <w:i w:val="0"/>
      </w:rPr>
    </w:lvl>
    <w:lvl w:ilvl="2" w:tplc="1809001B" w:tentative="1">
      <w:start w:val="1"/>
      <w:numFmt w:val="lowerRoman"/>
      <w:lvlText w:val="%3."/>
      <w:lvlJc w:val="right"/>
      <w:pPr>
        <w:ind w:left="4140" w:hanging="180"/>
      </w:pPr>
    </w:lvl>
    <w:lvl w:ilvl="3" w:tplc="1809000F" w:tentative="1">
      <w:start w:val="1"/>
      <w:numFmt w:val="decimal"/>
      <w:lvlText w:val="%4."/>
      <w:lvlJc w:val="left"/>
      <w:pPr>
        <w:ind w:left="4860" w:hanging="360"/>
      </w:pPr>
    </w:lvl>
    <w:lvl w:ilvl="4" w:tplc="18090019" w:tentative="1">
      <w:start w:val="1"/>
      <w:numFmt w:val="lowerLetter"/>
      <w:lvlText w:val="%5."/>
      <w:lvlJc w:val="left"/>
      <w:pPr>
        <w:ind w:left="5580" w:hanging="360"/>
      </w:pPr>
    </w:lvl>
    <w:lvl w:ilvl="5" w:tplc="1809001B" w:tentative="1">
      <w:start w:val="1"/>
      <w:numFmt w:val="lowerRoman"/>
      <w:lvlText w:val="%6."/>
      <w:lvlJc w:val="right"/>
      <w:pPr>
        <w:ind w:left="6300" w:hanging="180"/>
      </w:pPr>
    </w:lvl>
    <w:lvl w:ilvl="6" w:tplc="1809000F" w:tentative="1">
      <w:start w:val="1"/>
      <w:numFmt w:val="decimal"/>
      <w:lvlText w:val="%7."/>
      <w:lvlJc w:val="left"/>
      <w:pPr>
        <w:ind w:left="7020" w:hanging="360"/>
      </w:pPr>
    </w:lvl>
    <w:lvl w:ilvl="7" w:tplc="18090019" w:tentative="1">
      <w:start w:val="1"/>
      <w:numFmt w:val="lowerLetter"/>
      <w:lvlText w:val="%8."/>
      <w:lvlJc w:val="left"/>
      <w:pPr>
        <w:ind w:left="7740" w:hanging="360"/>
      </w:pPr>
    </w:lvl>
    <w:lvl w:ilvl="8" w:tplc="1809001B" w:tentative="1">
      <w:start w:val="1"/>
      <w:numFmt w:val="lowerRoman"/>
      <w:lvlText w:val="%9."/>
      <w:lvlJc w:val="right"/>
      <w:pPr>
        <w:ind w:left="8460" w:hanging="180"/>
      </w:pPr>
    </w:lvl>
  </w:abstractNum>
  <w:abstractNum w:abstractNumId="1" w15:restartNumberingAfterBreak="0">
    <w:nsid w:val="0FD20D71"/>
    <w:multiLevelType w:val="hybridMultilevel"/>
    <w:tmpl w:val="12DE3CC4"/>
    <w:lvl w:ilvl="0" w:tplc="97541B8A">
      <w:start w:val="1"/>
      <w:numFmt w:val="lowerRoman"/>
      <w:lvlText w:val="%1."/>
      <w:lvlJc w:val="left"/>
      <w:pPr>
        <w:ind w:left="1080" w:hanging="360"/>
      </w:pPr>
      <w:rPr>
        <w:rFonts w:asciiTheme="minorHAnsi" w:hAnsiTheme="minorHAnsi" w:cstheme="minorHAnsi" w:hint="default"/>
        <w:b w:val="0"/>
        <w:i w:val="0"/>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B3C78B8"/>
    <w:multiLevelType w:val="multilevel"/>
    <w:tmpl w:val="E2FA46EA"/>
    <w:name w:val="Point"/>
    <w:lvl w:ilvl="0">
      <w:start w:val="1"/>
      <w:numFmt w:val="decimal"/>
      <w:lvlRestart w:val="0"/>
      <w:lvlText w:val="(%1)"/>
      <w:lvlJc w:val="left"/>
      <w:pPr>
        <w:tabs>
          <w:tab w:val="num" w:pos="850"/>
        </w:tabs>
        <w:ind w:left="850" w:hanging="850"/>
      </w:pPr>
      <w:rPr>
        <w:rFonts w:hint="default"/>
      </w:rPr>
    </w:lvl>
    <w:lvl w:ilvl="1">
      <w:start w:val="1"/>
      <w:numFmt w:val="lowerLetter"/>
      <w:lvlText w:val="(%2)"/>
      <w:lvlJc w:val="left"/>
      <w:pPr>
        <w:tabs>
          <w:tab w:val="num" w:pos="850"/>
        </w:tabs>
        <w:ind w:left="850" w:hanging="850"/>
      </w:pPr>
      <w:rPr>
        <w:rFonts w:hint="default"/>
      </w:rPr>
    </w:lvl>
    <w:lvl w:ilvl="2">
      <w:start w:val="1"/>
      <w:numFmt w:val="decimal"/>
      <w:pStyle w:val="Point1number"/>
      <w:lvlText w:val="(%3)"/>
      <w:lvlJc w:val="left"/>
      <w:pPr>
        <w:tabs>
          <w:tab w:val="num" w:pos="1417"/>
        </w:tabs>
        <w:ind w:left="1417" w:hanging="567"/>
      </w:pPr>
      <w:rPr>
        <w:rFonts w:hint="default"/>
      </w:rPr>
    </w:lvl>
    <w:lvl w:ilvl="3">
      <w:start w:val="1"/>
      <w:numFmt w:val="lowerLetter"/>
      <w:pStyle w:val="Point1letter"/>
      <w:lvlText w:val="(%4)"/>
      <w:lvlJc w:val="left"/>
      <w:pPr>
        <w:tabs>
          <w:tab w:val="num" w:pos="1417"/>
        </w:tabs>
        <w:ind w:left="1417" w:hanging="567"/>
      </w:pPr>
      <w:rPr>
        <w:rFonts w:asciiTheme="minorHAnsi" w:hAnsiTheme="minorHAnsi" w:hint="default"/>
        <w:i w:val="0"/>
        <w:iCs/>
        <w:sz w:val="22"/>
        <w:szCs w:val="22"/>
      </w:rPr>
    </w:lvl>
    <w:lvl w:ilvl="4">
      <w:start w:val="1"/>
      <w:numFmt w:val="decimal"/>
      <w:pStyle w:val="Point2number"/>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asciiTheme="minorHAnsi" w:hAnsiTheme="minorHAnsi" w:hint="default"/>
        <w:sz w:val="22"/>
        <w:szCs w:val="22"/>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3" w15:restartNumberingAfterBreak="0">
    <w:nsid w:val="45D30355"/>
    <w:multiLevelType w:val="hybridMultilevel"/>
    <w:tmpl w:val="EDEC2A52"/>
    <w:lvl w:ilvl="0" w:tplc="E2208B0E">
      <w:start w:val="1"/>
      <w:numFmt w:val="lowerLetter"/>
      <w:lvlText w:val="(%1)"/>
      <w:lvlJc w:val="left"/>
      <w:pPr>
        <w:ind w:left="1080" w:hanging="360"/>
      </w:pPr>
      <w:rPr>
        <w:rFonts w:hint="default"/>
        <w:i w:val="0"/>
        <w:i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700191D"/>
    <w:multiLevelType w:val="multilevel"/>
    <w:tmpl w:val="08309E5A"/>
    <w:lvl w:ilvl="0">
      <w:start w:val="1"/>
      <w:numFmt w:val="decimal"/>
      <w:lvlRestart w:val="0"/>
      <w:lvlText w:val="%1."/>
      <w:lvlJc w:val="left"/>
      <w:pPr>
        <w:tabs>
          <w:tab w:val="num" w:pos="850"/>
        </w:tabs>
        <w:ind w:left="850" w:hanging="850"/>
      </w:pPr>
      <w:rPr>
        <w:rFonts w:asciiTheme="minorHAnsi" w:hAnsiTheme="minorHAnsi" w:cstheme="minorHAnsi" w:hint="default"/>
        <w:sz w:val="22"/>
        <w:szCs w:val="22"/>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rPr>
        <w:rFonts w:asciiTheme="minorHAnsi" w:hAnsiTheme="minorHAnsi" w:cstheme="minorHAnsi" w:hint="default"/>
        <w:sz w:val="22"/>
        <w:szCs w:val="22"/>
      </w:rPr>
    </w:lvl>
    <w:lvl w:ilvl="3">
      <w:start w:val="1"/>
      <w:numFmt w:val="decimal"/>
      <w:lvlText w:val="%1.%2.%3.%4."/>
      <w:lvlJc w:val="left"/>
      <w:pPr>
        <w:tabs>
          <w:tab w:val="num" w:pos="850"/>
        </w:tabs>
        <w:ind w:left="850" w:hanging="850"/>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6EF2581"/>
    <w:multiLevelType w:val="multilevel"/>
    <w:tmpl w:val="C23E7D8C"/>
    <w:lvl w:ilvl="0">
      <w:start w:val="1"/>
      <w:numFmt w:val="decimal"/>
      <w:lvlRestart w:val="0"/>
      <w:lvlText w:val="%1."/>
      <w:lvlJc w:val="left"/>
      <w:pPr>
        <w:tabs>
          <w:tab w:val="num" w:pos="850"/>
        </w:tabs>
        <w:ind w:left="850" w:hanging="850"/>
      </w:pPr>
      <w:rPr>
        <w:rFonts w:asciiTheme="minorHAnsi" w:hAnsiTheme="minorHAnsi" w:cstheme="minorHAnsi" w:hint="default"/>
        <w:b w:val="0"/>
        <w:i w:val="0"/>
        <w:iCs w:val="0"/>
        <w:sz w:val="22"/>
        <w:szCs w:val="22"/>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1417"/>
        </w:tabs>
        <w:ind w:left="1417" w:hanging="1417"/>
      </w:pPr>
      <w:rPr>
        <w:rFonts w:hint="default"/>
      </w:rPr>
    </w:lvl>
    <w:lvl w:ilvl="5">
      <w:start w:val="1"/>
      <w:numFmt w:val="decimal"/>
      <w:lvlText w:val="%1.%2.%3.%4.%5.%6."/>
      <w:lvlJc w:val="left"/>
      <w:pPr>
        <w:tabs>
          <w:tab w:val="num" w:pos="1417"/>
        </w:tabs>
        <w:ind w:left="1417" w:hanging="1417"/>
      </w:pPr>
      <w:rPr>
        <w:rFonts w:hint="default"/>
      </w:rPr>
    </w:lvl>
    <w:lvl w:ilvl="6">
      <w:start w:val="1"/>
      <w:numFmt w:val="decimal"/>
      <w:lvlText w:val="%1.%2.%3.%4.%5.%6.%7."/>
      <w:lvlJc w:val="left"/>
      <w:pPr>
        <w:tabs>
          <w:tab w:val="num" w:pos="1417"/>
        </w:tabs>
        <w:ind w:left="1417" w:hanging="141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DAC3537"/>
    <w:multiLevelType w:val="hybridMultilevel"/>
    <w:tmpl w:val="8288309C"/>
    <w:lvl w:ilvl="0" w:tplc="2FB24E16">
      <w:start w:val="1"/>
      <w:numFmt w:val="lowerRoman"/>
      <w:lvlText w:val="(%1)"/>
      <w:lvlJc w:val="left"/>
      <w:pPr>
        <w:ind w:left="1080" w:hanging="72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1B06E0"/>
    <w:multiLevelType w:val="multilevel"/>
    <w:tmpl w:val="66009890"/>
    <w:lvl w:ilvl="0">
      <w:start w:val="1"/>
      <w:numFmt w:val="decimal"/>
      <w:lvlRestart w:val="0"/>
      <w:pStyle w:val="Heading1"/>
      <w:lvlText w:val="%1."/>
      <w:lvlJc w:val="left"/>
      <w:pPr>
        <w:tabs>
          <w:tab w:val="num" w:pos="850"/>
        </w:tabs>
        <w:ind w:left="850" w:hanging="850"/>
      </w:pPr>
      <w:rPr>
        <w:rFonts w:asciiTheme="minorHAnsi" w:hAnsiTheme="minorHAnsi" w:cstheme="minorHAnsi" w:hint="default"/>
        <w:b/>
        <w:i w:val="0"/>
        <w:sz w:val="22"/>
        <w:szCs w:val="22"/>
      </w:rPr>
    </w:lvl>
    <w:lvl w:ilvl="1">
      <w:start w:val="1"/>
      <w:numFmt w:val="decimal"/>
      <w:pStyle w:val="Heading2"/>
      <w:lvlText w:val="%1.%2."/>
      <w:lvlJc w:val="left"/>
      <w:pPr>
        <w:tabs>
          <w:tab w:val="num" w:pos="850"/>
        </w:tabs>
        <w:ind w:left="850" w:hanging="850"/>
      </w:pPr>
      <w:rPr>
        <w:rFonts w:hint="default"/>
        <w:b w:val="0"/>
        <w:color w:val="auto"/>
        <w:sz w:val="22"/>
        <w:szCs w:val="22"/>
      </w:rPr>
    </w:lvl>
    <w:lvl w:ilvl="2">
      <w:start w:val="1"/>
      <w:numFmt w:val="decimal"/>
      <w:pStyle w:val="Heading3"/>
      <w:lvlText w:val="%1.%2.%3."/>
      <w:lvlJc w:val="left"/>
      <w:pPr>
        <w:tabs>
          <w:tab w:val="num" w:pos="850"/>
        </w:tabs>
        <w:ind w:left="850" w:hanging="850"/>
      </w:pPr>
      <w:rPr>
        <w:rFonts w:hint="default"/>
        <w:b w:val="0"/>
        <w:sz w:val="22"/>
        <w:szCs w:val="22"/>
      </w:rPr>
    </w:lvl>
    <w:lvl w:ilvl="3">
      <w:start w:val="1"/>
      <w:numFmt w:val="decimal"/>
      <w:pStyle w:val="Heading4"/>
      <w:lvlText w:val="%1.%2.%3.%4."/>
      <w:lvlJc w:val="left"/>
      <w:pPr>
        <w:tabs>
          <w:tab w:val="num" w:pos="850"/>
        </w:tabs>
        <w:ind w:left="850" w:hanging="850"/>
      </w:pPr>
      <w:rPr>
        <w:rFonts w:hint="default"/>
      </w:rPr>
    </w:lvl>
    <w:lvl w:ilvl="4">
      <w:start w:val="1"/>
      <w:numFmt w:val="decimal"/>
      <w:pStyle w:val="Heading5"/>
      <w:lvlText w:val="%1.%2.%3.%4.%5."/>
      <w:lvlJc w:val="left"/>
      <w:pPr>
        <w:tabs>
          <w:tab w:val="num" w:pos="1417"/>
        </w:tabs>
        <w:ind w:left="1417" w:hanging="1417"/>
      </w:pPr>
      <w:rPr>
        <w:rFonts w:hint="default"/>
      </w:rPr>
    </w:lvl>
    <w:lvl w:ilvl="5">
      <w:start w:val="1"/>
      <w:numFmt w:val="decimal"/>
      <w:pStyle w:val="Heading6"/>
      <w:lvlText w:val="%1.%2.%3.%4.%5.%6."/>
      <w:lvlJc w:val="left"/>
      <w:pPr>
        <w:tabs>
          <w:tab w:val="num" w:pos="1417"/>
        </w:tabs>
        <w:ind w:left="1417" w:hanging="1417"/>
      </w:pPr>
      <w:rPr>
        <w:rFonts w:hint="default"/>
      </w:rPr>
    </w:lvl>
    <w:lvl w:ilvl="6">
      <w:start w:val="1"/>
      <w:numFmt w:val="decimal"/>
      <w:pStyle w:val="Heading7"/>
      <w:lvlText w:val="%1.%2.%3.%4.%5.%6.%7."/>
      <w:lvlJc w:val="left"/>
      <w:pPr>
        <w:tabs>
          <w:tab w:val="num" w:pos="1417"/>
        </w:tabs>
        <w:ind w:left="1417" w:hanging="141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0"/>
    <w:lvlOverride w:ilvl="0">
      <w:startOverride w:val="1"/>
    </w:lvlOverride>
  </w:num>
  <w:num w:numId="3">
    <w:abstractNumId w:val="2"/>
  </w:num>
  <w:num w:numId="4">
    <w:abstractNumId w:val="2"/>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num>
  <w:num w:numId="1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D82"/>
    <w:rsid w:val="001E27D7"/>
    <w:rsid w:val="001E6D82"/>
    <w:rsid w:val="00C9629B"/>
    <w:rsid w:val="00F67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A69859-C2E3-43E6-A1D3-F0F863DB5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629B"/>
  </w:style>
  <w:style w:type="paragraph" w:styleId="Heading1">
    <w:name w:val="heading 1"/>
    <w:basedOn w:val="Normal"/>
    <w:next w:val="Normal"/>
    <w:link w:val="Heading1Char"/>
    <w:qFormat/>
    <w:rsid w:val="00C9629B"/>
    <w:pPr>
      <w:numPr>
        <w:numId w:val="1"/>
      </w:numPr>
      <w:spacing w:before="75" w:after="75" w:line="240" w:lineRule="auto"/>
      <w:ind w:right="-29"/>
      <w:jc w:val="center"/>
      <w:outlineLvl w:val="0"/>
    </w:pPr>
    <w:rPr>
      <w:rFonts w:ascii="Times New Roman" w:eastAsia="Times New Roman" w:hAnsi="Times New Roman" w:cs="Times New Roman"/>
      <w:b/>
      <w:sz w:val="48"/>
      <w:szCs w:val="48"/>
      <w:lang w:val="hr-HR" w:eastAsia="hr-HR" w:bidi="hr-HR"/>
    </w:rPr>
  </w:style>
  <w:style w:type="paragraph" w:styleId="Heading2">
    <w:name w:val="heading 2"/>
    <w:basedOn w:val="Normal"/>
    <w:next w:val="Normal"/>
    <w:link w:val="Heading2Char"/>
    <w:uiPriority w:val="9"/>
    <w:unhideWhenUsed/>
    <w:qFormat/>
    <w:rsid w:val="00C9629B"/>
    <w:pPr>
      <w:keepNext/>
      <w:keepLines/>
      <w:numPr>
        <w:ilvl w:val="1"/>
        <w:numId w:val="1"/>
      </w:numPr>
      <w:spacing w:before="200" w:after="0" w:line="240" w:lineRule="auto"/>
      <w:jc w:val="both"/>
      <w:outlineLvl w:val="1"/>
    </w:pPr>
    <w:rPr>
      <w:rFonts w:ascii="Cambria" w:eastAsia="SimSun" w:hAnsi="Cambria" w:cs="Times New Roman"/>
      <w:b/>
      <w:bCs/>
      <w:color w:val="4F81BD"/>
      <w:sz w:val="26"/>
      <w:szCs w:val="26"/>
      <w:lang w:val="hr-HR" w:eastAsia="hr-HR" w:bidi="hr-HR"/>
    </w:rPr>
  </w:style>
  <w:style w:type="paragraph" w:styleId="Heading3">
    <w:name w:val="heading 3"/>
    <w:basedOn w:val="Normal"/>
    <w:next w:val="Normal"/>
    <w:link w:val="Heading3Char"/>
    <w:uiPriority w:val="9"/>
    <w:unhideWhenUsed/>
    <w:qFormat/>
    <w:rsid w:val="00C9629B"/>
    <w:pPr>
      <w:keepNext/>
      <w:keepLines/>
      <w:numPr>
        <w:ilvl w:val="2"/>
        <w:numId w:val="1"/>
      </w:numPr>
      <w:spacing w:before="200" w:after="0" w:line="240" w:lineRule="auto"/>
      <w:jc w:val="both"/>
      <w:outlineLvl w:val="2"/>
    </w:pPr>
    <w:rPr>
      <w:rFonts w:ascii="Cambria" w:eastAsia="SimSun" w:hAnsi="Cambria" w:cs="Times New Roman"/>
      <w:b/>
      <w:bCs/>
      <w:color w:val="4F81BD"/>
      <w:sz w:val="24"/>
      <w:szCs w:val="20"/>
      <w:lang w:val="hr-HR" w:eastAsia="hr-HR" w:bidi="hr-HR"/>
    </w:rPr>
  </w:style>
  <w:style w:type="paragraph" w:styleId="Heading4">
    <w:name w:val="heading 4"/>
    <w:basedOn w:val="Normal"/>
    <w:next w:val="Normal"/>
    <w:link w:val="Heading4Char"/>
    <w:unhideWhenUsed/>
    <w:qFormat/>
    <w:rsid w:val="00C9629B"/>
    <w:pPr>
      <w:keepNext/>
      <w:keepLines/>
      <w:numPr>
        <w:ilvl w:val="3"/>
        <w:numId w:val="1"/>
      </w:numPr>
      <w:spacing w:before="200" w:after="0" w:line="240" w:lineRule="auto"/>
      <w:jc w:val="both"/>
      <w:outlineLvl w:val="3"/>
    </w:pPr>
    <w:rPr>
      <w:rFonts w:ascii="Cambria" w:eastAsia="SimSun" w:hAnsi="Cambria" w:cs="Times New Roman"/>
      <w:b/>
      <w:bCs/>
      <w:i/>
      <w:iCs/>
      <w:color w:val="4F81BD"/>
      <w:sz w:val="24"/>
      <w:szCs w:val="20"/>
      <w:lang w:val="hr-HR" w:eastAsia="hr-HR" w:bidi="hr-HR"/>
    </w:rPr>
  </w:style>
  <w:style w:type="paragraph" w:styleId="Heading5">
    <w:name w:val="heading 5"/>
    <w:basedOn w:val="Normal"/>
    <w:next w:val="Normal"/>
    <w:link w:val="Heading5Char"/>
    <w:uiPriority w:val="9"/>
    <w:unhideWhenUsed/>
    <w:qFormat/>
    <w:rsid w:val="00C9629B"/>
    <w:pPr>
      <w:keepNext/>
      <w:keepLines/>
      <w:numPr>
        <w:ilvl w:val="4"/>
        <w:numId w:val="1"/>
      </w:numPr>
      <w:spacing w:before="200" w:after="0" w:line="240" w:lineRule="auto"/>
      <w:jc w:val="both"/>
      <w:outlineLvl w:val="4"/>
    </w:pPr>
    <w:rPr>
      <w:rFonts w:ascii="Cambria" w:eastAsia="SimSun" w:hAnsi="Cambria" w:cs="Times New Roman"/>
      <w:color w:val="243F60"/>
      <w:sz w:val="24"/>
      <w:szCs w:val="20"/>
      <w:lang w:val="hr-HR" w:eastAsia="hr-HR" w:bidi="hr-HR"/>
    </w:rPr>
  </w:style>
  <w:style w:type="paragraph" w:styleId="Heading6">
    <w:name w:val="heading 6"/>
    <w:basedOn w:val="Normal"/>
    <w:next w:val="Normal"/>
    <w:link w:val="Heading6Char"/>
    <w:uiPriority w:val="9"/>
    <w:semiHidden/>
    <w:unhideWhenUsed/>
    <w:qFormat/>
    <w:rsid w:val="00C9629B"/>
    <w:pPr>
      <w:keepNext/>
      <w:keepLines/>
      <w:numPr>
        <w:ilvl w:val="5"/>
        <w:numId w:val="1"/>
      </w:numPr>
      <w:spacing w:before="200" w:after="0" w:line="240" w:lineRule="auto"/>
      <w:jc w:val="both"/>
      <w:outlineLvl w:val="5"/>
    </w:pPr>
    <w:rPr>
      <w:rFonts w:ascii="Cambria" w:eastAsia="SimSun" w:hAnsi="Cambria" w:cs="Times New Roman"/>
      <w:i/>
      <w:iCs/>
      <w:color w:val="243F60"/>
      <w:sz w:val="24"/>
      <w:szCs w:val="20"/>
      <w:lang w:val="hr-HR" w:eastAsia="hr-HR" w:bidi="hr-HR"/>
    </w:rPr>
  </w:style>
  <w:style w:type="paragraph" w:styleId="Heading7">
    <w:name w:val="heading 7"/>
    <w:basedOn w:val="Normal"/>
    <w:next w:val="Normal"/>
    <w:link w:val="Heading7Char"/>
    <w:uiPriority w:val="9"/>
    <w:semiHidden/>
    <w:unhideWhenUsed/>
    <w:qFormat/>
    <w:rsid w:val="00C9629B"/>
    <w:pPr>
      <w:numPr>
        <w:ilvl w:val="6"/>
        <w:numId w:val="1"/>
      </w:numPr>
      <w:spacing w:before="240" w:after="60" w:line="240" w:lineRule="auto"/>
      <w:jc w:val="both"/>
      <w:outlineLvl w:val="6"/>
    </w:pPr>
    <w:rPr>
      <w:rFonts w:ascii="Calibri" w:eastAsia="Times New Roman" w:hAnsi="Calibri"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629B"/>
    <w:rPr>
      <w:rFonts w:ascii="Times New Roman" w:eastAsia="Times New Roman" w:hAnsi="Times New Roman" w:cs="Times New Roman"/>
      <w:b/>
      <w:sz w:val="48"/>
      <w:szCs w:val="48"/>
      <w:lang w:val="hr-HR" w:eastAsia="hr-HR" w:bidi="hr-HR"/>
    </w:rPr>
  </w:style>
  <w:style w:type="character" w:customStyle="1" w:styleId="Heading2Char">
    <w:name w:val="Heading 2 Char"/>
    <w:basedOn w:val="DefaultParagraphFont"/>
    <w:link w:val="Heading2"/>
    <w:uiPriority w:val="9"/>
    <w:rsid w:val="00C9629B"/>
    <w:rPr>
      <w:rFonts w:ascii="Cambria" w:eastAsia="SimSun" w:hAnsi="Cambria" w:cs="Times New Roman"/>
      <w:b/>
      <w:bCs/>
      <w:color w:val="4F81BD"/>
      <w:sz w:val="26"/>
      <w:szCs w:val="26"/>
      <w:lang w:val="hr-HR" w:eastAsia="hr-HR" w:bidi="hr-HR"/>
    </w:rPr>
  </w:style>
  <w:style w:type="character" w:customStyle="1" w:styleId="Heading3Char">
    <w:name w:val="Heading 3 Char"/>
    <w:basedOn w:val="DefaultParagraphFont"/>
    <w:link w:val="Heading3"/>
    <w:uiPriority w:val="9"/>
    <w:rsid w:val="00C9629B"/>
    <w:rPr>
      <w:rFonts w:ascii="Cambria" w:eastAsia="SimSun" w:hAnsi="Cambria" w:cs="Times New Roman"/>
      <w:b/>
      <w:bCs/>
      <w:color w:val="4F81BD"/>
      <w:sz w:val="24"/>
      <w:szCs w:val="20"/>
      <w:lang w:val="hr-HR" w:eastAsia="hr-HR" w:bidi="hr-HR"/>
    </w:rPr>
  </w:style>
  <w:style w:type="character" w:customStyle="1" w:styleId="Heading4Char">
    <w:name w:val="Heading 4 Char"/>
    <w:basedOn w:val="DefaultParagraphFont"/>
    <w:link w:val="Heading4"/>
    <w:rsid w:val="00C9629B"/>
    <w:rPr>
      <w:rFonts w:ascii="Cambria" w:eastAsia="SimSun" w:hAnsi="Cambria" w:cs="Times New Roman"/>
      <w:b/>
      <w:bCs/>
      <w:i/>
      <w:iCs/>
      <w:color w:val="4F81BD"/>
      <w:sz w:val="24"/>
      <w:szCs w:val="20"/>
      <w:lang w:val="hr-HR" w:eastAsia="hr-HR" w:bidi="hr-HR"/>
    </w:rPr>
  </w:style>
  <w:style w:type="character" w:customStyle="1" w:styleId="Heading5Char">
    <w:name w:val="Heading 5 Char"/>
    <w:basedOn w:val="DefaultParagraphFont"/>
    <w:link w:val="Heading5"/>
    <w:uiPriority w:val="9"/>
    <w:rsid w:val="00C9629B"/>
    <w:rPr>
      <w:rFonts w:ascii="Cambria" w:eastAsia="SimSun" w:hAnsi="Cambria" w:cs="Times New Roman"/>
      <w:color w:val="243F60"/>
      <w:sz w:val="24"/>
      <w:szCs w:val="20"/>
      <w:lang w:val="hr-HR" w:eastAsia="hr-HR" w:bidi="hr-HR"/>
    </w:rPr>
  </w:style>
  <w:style w:type="character" w:customStyle="1" w:styleId="Heading6Char">
    <w:name w:val="Heading 6 Char"/>
    <w:basedOn w:val="DefaultParagraphFont"/>
    <w:link w:val="Heading6"/>
    <w:uiPriority w:val="9"/>
    <w:semiHidden/>
    <w:rsid w:val="00C9629B"/>
    <w:rPr>
      <w:rFonts w:ascii="Cambria" w:eastAsia="SimSun" w:hAnsi="Cambria" w:cs="Times New Roman"/>
      <w:i/>
      <w:iCs/>
      <w:color w:val="243F60"/>
      <w:sz w:val="24"/>
      <w:szCs w:val="20"/>
      <w:lang w:val="hr-HR" w:eastAsia="hr-HR" w:bidi="hr-HR"/>
    </w:rPr>
  </w:style>
  <w:style w:type="character" w:customStyle="1" w:styleId="Heading7Char">
    <w:name w:val="Heading 7 Char"/>
    <w:basedOn w:val="DefaultParagraphFont"/>
    <w:link w:val="Heading7"/>
    <w:uiPriority w:val="9"/>
    <w:semiHidden/>
    <w:rsid w:val="00C9629B"/>
    <w:rPr>
      <w:rFonts w:ascii="Calibri" w:eastAsia="Times New Roman" w:hAnsi="Calibri" w:cs="Times New Roman"/>
      <w:sz w:val="24"/>
      <w:szCs w:val="24"/>
      <w:lang w:val="en-GB"/>
    </w:rPr>
  </w:style>
  <w:style w:type="paragraph" w:styleId="FootnoteText">
    <w:name w:val="footnote text"/>
    <w:basedOn w:val="Normal"/>
    <w:link w:val="FootnoteTextChar"/>
    <w:unhideWhenUsed/>
    <w:rsid w:val="00C9629B"/>
    <w:pPr>
      <w:spacing w:before="120" w:after="80" w:line="240" w:lineRule="auto"/>
      <w:ind w:left="720" w:hanging="720"/>
      <w:jc w:val="both"/>
    </w:pPr>
    <w:rPr>
      <w:rFonts w:ascii="Times New Roman" w:eastAsia="Calibri" w:hAnsi="Times New Roman" w:cs="Times New Roman"/>
      <w:sz w:val="20"/>
      <w:szCs w:val="20"/>
      <w:lang w:val="x-none" w:eastAsia="x-none"/>
    </w:rPr>
  </w:style>
  <w:style w:type="character" w:customStyle="1" w:styleId="FootnoteTextChar">
    <w:name w:val="Footnote Text Char"/>
    <w:basedOn w:val="DefaultParagraphFont"/>
    <w:link w:val="FootnoteText"/>
    <w:rsid w:val="00C9629B"/>
    <w:rPr>
      <w:rFonts w:ascii="Times New Roman" w:eastAsia="Calibri" w:hAnsi="Times New Roman" w:cs="Times New Roman"/>
      <w:sz w:val="20"/>
      <w:szCs w:val="20"/>
      <w:lang w:val="x-none" w:eastAsia="x-none"/>
    </w:rPr>
  </w:style>
  <w:style w:type="paragraph" w:customStyle="1" w:styleId="Text2">
    <w:name w:val="Text 2"/>
    <w:basedOn w:val="Normal"/>
    <w:rsid w:val="00C9629B"/>
    <w:pPr>
      <w:tabs>
        <w:tab w:val="left" w:pos="2161"/>
      </w:tabs>
      <w:spacing w:before="120" w:after="240" w:line="240" w:lineRule="auto"/>
      <w:ind w:left="1077" w:hanging="720"/>
      <w:jc w:val="both"/>
    </w:pPr>
    <w:rPr>
      <w:rFonts w:ascii="Times New Roman" w:eastAsia="Times New Roman" w:hAnsi="Times New Roman" w:cs="Times New Roman"/>
      <w:sz w:val="24"/>
      <w:szCs w:val="24"/>
      <w:lang w:val="hr-HR" w:eastAsia="hr-HR" w:bidi="hr-HR"/>
    </w:rPr>
  </w:style>
  <w:style w:type="paragraph" w:customStyle="1" w:styleId="NumPar2">
    <w:name w:val="NumPar 2"/>
    <w:basedOn w:val="Normal"/>
    <w:next w:val="Text2"/>
    <w:rsid w:val="00C9629B"/>
    <w:pPr>
      <w:tabs>
        <w:tab w:val="num" w:pos="360"/>
      </w:tabs>
      <w:spacing w:before="120" w:after="120" w:line="240" w:lineRule="auto"/>
      <w:ind w:left="360" w:hanging="360"/>
      <w:jc w:val="both"/>
    </w:pPr>
    <w:rPr>
      <w:rFonts w:ascii="Times New Roman" w:eastAsia="Times New Roman" w:hAnsi="Times New Roman" w:cs="Times New Roman"/>
      <w:sz w:val="24"/>
      <w:szCs w:val="24"/>
      <w:lang w:val="hr-HR" w:eastAsia="hr-HR" w:bidi="hr-HR"/>
    </w:rPr>
  </w:style>
  <w:style w:type="character" w:styleId="FootnoteReference">
    <w:name w:val="footnote reference"/>
    <w:aliases w:val="Footnote,Footnote symbol,Nota,Footnote number,de nota al pie,Ref,Char,SUPERS,Voetnootmarkering,Char1,fr,o,(NECG) Footnote Reference,Times 10 Point,Exposant 3 Point,Footnote Reference Number,Footnote reference number,FR, Char, Char1,F"/>
    <w:link w:val="SUPERSChar"/>
    <w:rsid w:val="00C9629B"/>
    <w:rPr>
      <w:vertAlign w:val="superscript"/>
    </w:rPr>
  </w:style>
  <w:style w:type="paragraph" w:customStyle="1" w:styleId="SUPERSChar">
    <w:name w:val="SUPERS Char"/>
    <w:aliases w:val="EN Footnote Reference Char"/>
    <w:basedOn w:val="Normal"/>
    <w:link w:val="FootnoteReference"/>
    <w:rsid w:val="00C9629B"/>
    <w:pPr>
      <w:spacing w:before="120" w:line="240" w:lineRule="exact"/>
      <w:ind w:left="720" w:hanging="720"/>
      <w:jc w:val="both"/>
    </w:pPr>
    <w:rPr>
      <w:vertAlign w:val="superscript"/>
    </w:rPr>
  </w:style>
  <w:style w:type="character" w:styleId="Hyperlink">
    <w:name w:val="Hyperlink"/>
    <w:uiPriority w:val="99"/>
    <w:rsid w:val="00C9629B"/>
    <w:rPr>
      <w:color w:val="0000FF"/>
      <w:u w:val="single"/>
    </w:rPr>
  </w:style>
  <w:style w:type="paragraph" w:customStyle="1" w:styleId="Text1">
    <w:name w:val="Text 1"/>
    <w:basedOn w:val="Normal"/>
    <w:uiPriority w:val="99"/>
    <w:rsid w:val="00C9629B"/>
    <w:pPr>
      <w:spacing w:before="120" w:after="240" w:line="240" w:lineRule="auto"/>
      <w:ind w:left="482" w:hanging="720"/>
      <w:jc w:val="both"/>
    </w:pPr>
    <w:rPr>
      <w:rFonts w:ascii="Times New Roman" w:eastAsia="Times New Roman" w:hAnsi="Times New Roman" w:cs="Times New Roman"/>
      <w:sz w:val="24"/>
      <w:szCs w:val="20"/>
      <w:lang w:val="hr-HR" w:eastAsia="hr-HR" w:bidi="hr-HR"/>
    </w:rPr>
  </w:style>
  <w:style w:type="paragraph" w:customStyle="1" w:styleId="NumPar1">
    <w:name w:val="NumPar 1"/>
    <w:basedOn w:val="Normal"/>
    <w:next w:val="Normal"/>
    <w:rsid w:val="00C9629B"/>
    <w:pPr>
      <w:tabs>
        <w:tab w:val="num" w:pos="2625"/>
      </w:tabs>
      <w:spacing w:before="120" w:after="120" w:line="240" w:lineRule="auto"/>
      <w:ind w:left="2625" w:hanging="709"/>
      <w:jc w:val="both"/>
    </w:pPr>
    <w:rPr>
      <w:rFonts w:ascii="Times New Roman" w:eastAsia="Calibri" w:hAnsi="Times New Roman" w:cs="Times New Roman"/>
      <w:sz w:val="24"/>
      <w:lang w:val="en-GB"/>
    </w:rPr>
  </w:style>
  <w:style w:type="paragraph" w:customStyle="1" w:styleId="Stylei">
    <w:name w:val="Style (i)"/>
    <w:basedOn w:val="Normal"/>
    <w:qFormat/>
    <w:rsid w:val="00C9629B"/>
    <w:pPr>
      <w:numPr>
        <w:numId w:val="2"/>
      </w:numPr>
      <w:spacing w:before="120" w:after="120" w:line="240" w:lineRule="auto"/>
      <w:jc w:val="both"/>
    </w:pPr>
    <w:rPr>
      <w:rFonts w:ascii="Times New Roman" w:eastAsia="Calibri" w:hAnsi="Times New Roman" w:cs="Times New Roman"/>
      <w:sz w:val="24"/>
      <w:lang w:val="hr-HR"/>
    </w:rPr>
  </w:style>
  <w:style w:type="character" w:customStyle="1" w:styleId="oj-italic">
    <w:name w:val="oj-italic"/>
    <w:rsid w:val="00C9629B"/>
  </w:style>
  <w:style w:type="paragraph" w:customStyle="1" w:styleId="Point1number">
    <w:name w:val="Point 1 (number)"/>
    <w:basedOn w:val="Normal"/>
    <w:rsid w:val="00C9629B"/>
    <w:pPr>
      <w:numPr>
        <w:ilvl w:val="2"/>
        <w:numId w:val="3"/>
      </w:numPr>
      <w:spacing w:before="120" w:after="120" w:line="240" w:lineRule="auto"/>
      <w:jc w:val="both"/>
    </w:pPr>
    <w:rPr>
      <w:rFonts w:ascii="Times New Roman" w:hAnsi="Times New Roman" w:cs="Times New Roman"/>
      <w:sz w:val="24"/>
      <w:lang w:val="hr-HR"/>
    </w:rPr>
  </w:style>
  <w:style w:type="paragraph" w:customStyle="1" w:styleId="Point2number">
    <w:name w:val="Point 2 (number)"/>
    <w:basedOn w:val="Normal"/>
    <w:rsid w:val="00C9629B"/>
    <w:pPr>
      <w:numPr>
        <w:ilvl w:val="4"/>
        <w:numId w:val="3"/>
      </w:numPr>
      <w:spacing w:before="120" w:after="120" w:line="240" w:lineRule="auto"/>
      <w:jc w:val="both"/>
    </w:pPr>
    <w:rPr>
      <w:rFonts w:ascii="Times New Roman" w:hAnsi="Times New Roman" w:cs="Times New Roman"/>
      <w:sz w:val="24"/>
      <w:lang w:val="hr-HR"/>
    </w:rPr>
  </w:style>
  <w:style w:type="paragraph" w:customStyle="1" w:styleId="Point3number">
    <w:name w:val="Point 3 (number)"/>
    <w:basedOn w:val="Normal"/>
    <w:rsid w:val="00C9629B"/>
    <w:pPr>
      <w:numPr>
        <w:ilvl w:val="6"/>
        <w:numId w:val="3"/>
      </w:numPr>
      <w:spacing w:before="120" w:after="120" w:line="240" w:lineRule="auto"/>
      <w:jc w:val="both"/>
    </w:pPr>
    <w:rPr>
      <w:rFonts w:ascii="Times New Roman" w:hAnsi="Times New Roman" w:cs="Times New Roman"/>
      <w:sz w:val="24"/>
      <w:lang w:val="hr-HR"/>
    </w:rPr>
  </w:style>
  <w:style w:type="paragraph" w:customStyle="1" w:styleId="Point0letter">
    <w:name w:val="Point 0 (letter)"/>
    <w:basedOn w:val="Normal"/>
    <w:rsid w:val="00C9629B"/>
    <w:pPr>
      <w:spacing w:before="120" w:after="120" w:line="240" w:lineRule="auto"/>
      <w:jc w:val="both"/>
    </w:pPr>
    <w:rPr>
      <w:rFonts w:ascii="Times New Roman" w:hAnsi="Times New Roman" w:cs="Times New Roman"/>
      <w:sz w:val="24"/>
      <w:lang w:val="hr-HR"/>
    </w:rPr>
  </w:style>
  <w:style w:type="paragraph" w:customStyle="1" w:styleId="Point1letter">
    <w:name w:val="Point 1 (letter)"/>
    <w:basedOn w:val="Normal"/>
    <w:rsid w:val="00C9629B"/>
    <w:pPr>
      <w:numPr>
        <w:ilvl w:val="3"/>
        <w:numId w:val="3"/>
      </w:numPr>
      <w:spacing w:before="120" w:after="120" w:line="240" w:lineRule="auto"/>
      <w:jc w:val="both"/>
    </w:pPr>
    <w:rPr>
      <w:rFonts w:ascii="Times New Roman" w:hAnsi="Times New Roman" w:cs="Times New Roman"/>
      <w:sz w:val="24"/>
      <w:lang w:val="hr-HR"/>
    </w:rPr>
  </w:style>
  <w:style w:type="paragraph" w:customStyle="1" w:styleId="Point2letter">
    <w:name w:val="Point 2 (letter)"/>
    <w:basedOn w:val="Normal"/>
    <w:rsid w:val="00C9629B"/>
    <w:pPr>
      <w:numPr>
        <w:ilvl w:val="5"/>
        <w:numId w:val="3"/>
      </w:numPr>
      <w:spacing w:before="120" w:after="120" w:line="240" w:lineRule="auto"/>
      <w:jc w:val="both"/>
    </w:pPr>
    <w:rPr>
      <w:rFonts w:ascii="Times New Roman" w:hAnsi="Times New Roman" w:cs="Times New Roman"/>
      <w:sz w:val="24"/>
      <w:lang w:val="hr-HR"/>
    </w:rPr>
  </w:style>
  <w:style w:type="paragraph" w:customStyle="1" w:styleId="Point3letter">
    <w:name w:val="Point 3 (letter)"/>
    <w:basedOn w:val="Normal"/>
    <w:rsid w:val="00C9629B"/>
    <w:pPr>
      <w:numPr>
        <w:ilvl w:val="7"/>
        <w:numId w:val="3"/>
      </w:numPr>
      <w:spacing w:before="120" w:after="120" w:line="240" w:lineRule="auto"/>
      <w:jc w:val="both"/>
    </w:pPr>
    <w:rPr>
      <w:rFonts w:ascii="Times New Roman" w:hAnsi="Times New Roman" w:cs="Times New Roman"/>
      <w:sz w:val="24"/>
      <w:lang w:val="hr-HR"/>
    </w:rPr>
  </w:style>
  <w:style w:type="paragraph" w:customStyle="1" w:styleId="Point4letter">
    <w:name w:val="Point 4 (letter)"/>
    <w:basedOn w:val="Normal"/>
    <w:rsid w:val="00C9629B"/>
    <w:pPr>
      <w:numPr>
        <w:ilvl w:val="8"/>
        <w:numId w:val="3"/>
      </w:numPr>
      <w:spacing w:before="120" w:after="120" w:line="240" w:lineRule="auto"/>
      <w:jc w:val="both"/>
    </w:pPr>
    <w:rPr>
      <w:rFonts w:ascii="Times New Roman" w:hAnsi="Times New Roman" w:cs="Times New Roman"/>
      <w:sz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competition-policy.ec.europa.eu/state-aid/legislation/forms-notifications-and-reporting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5294</Words>
  <Characters>30178</Characters>
  <Application>Microsoft Office Word</Application>
  <DocSecurity>0</DocSecurity>
  <Lines>251</Lines>
  <Paragraphs>70</Paragraphs>
  <ScaleCrop>false</ScaleCrop>
  <Company/>
  <LinksUpToDate>false</LinksUpToDate>
  <CharactersWithSpaces>35402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Ivovic</dc:creator>
  <cp:keywords/>
  <dc:description/>
  <cp:lastModifiedBy>Suzana Ivovic</cp:lastModifiedBy>
  <cp:revision>2</cp:revision>
  <dcterms:created xsi:type="dcterms:W3CDTF">2026-03-26T12:11:00Z</dcterms:created>
  <dcterms:modified xsi:type="dcterms:W3CDTF">2026-03-26T12:16:00Z</dcterms:modified>
</cp:coreProperties>
</file>