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EB668" w14:textId="77777777" w:rsidR="00211F70" w:rsidRPr="0086255B" w:rsidRDefault="00211F70" w:rsidP="00211F70">
      <w:pPr>
        <w:tabs>
          <w:tab w:val="left" w:leader="dot" w:pos="9072"/>
        </w:tabs>
        <w:spacing w:before="120" w:after="120"/>
        <w:jc w:val="both"/>
        <w:rPr>
          <w:rFonts w:cstheme="minorHAnsi"/>
          <w:b/>
          <w:noProof/>
        </w:rPr>
      </w:pPr>
      <w:r w:rsidRPr="0086255B">
        <w:rPr>
          <w:rFonts w:cstheme="minorHAnsi"/>
          <w:b/>
          <w:noProof/>
        </w:rPr>
        <w:t>Obrazac 7j – Obrazac o dodatnim podacima za državnu pomoć dodijeljenu na osnovu Smjernica o državnoj pomoći za klimu, zaštitu životne sredine i energiju za 2022.  (u daljem tekstu „CEEAG”) - Odjeljak 4.8. - Pomoć za sigurnost snabdijevanja električnom energijom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016"/>
      </w:tblGrid>
      <w:tr w:rsidR="00211F70" w:rsidRPr="0086255B" w14:paraId="432B8558" w14:textId="77777777" w:rsidTr="00D507D9">
        <w:trPr>
          <w:trHeight w:val="1134"/>
        </w:trPr>
        <w:tc>
          <w:tcPr>
            <w:tcW w:w="5000" w:type="pct"/>
            <w:shd w:val="pct15" w:color="auto" w:fill="auto"/>
          </w:tcPr>
          <w:p w14:paraId="58189C28" w14:textId="77777777" w:rsidR="00211F70" w:rsidRPr="0086255B" w:rsidRDefault="00211F70" w:rsidP="00D507D9">
            <w:pPr>
              <w:keepNext/>
              <w:keepLines/>
              <w:spacing w:before="120" w:after="120"/>
              <w:jc w:val="both"/>
              <w:outlineLvl w:val="1"/>
              <w:rPr>
                <w:rFonts w:eastAsia="Times New Roman" w:cstheme="minorHAnsi"/>
                <w:b/>
                <w:bCs/>
                <w:lang w:eastAsia="hr-HR" w:bidi="hr-HR"/>
              </w:rPr>
            </w:pPr>
            <w:proofErr w:type="spellStart"/>
            <w:r w:rsidRPr="0086255B">
              <w:rPr>
                <w:rFonts w:eastAsia="Times New Roman" w:cstheme="minorHAnsi"/>
                <w:b/>
                <w:bCs/>
                <w:lang w:eastAsia="hr-HR" w:bidi="hr-HR"/>
              </w:rPr>
              <w:t>Dio</w:t>
            </w:r>
            <w:proofErr w:type="spellEnd"/>
            <w:r w:rsidRPr="0086255B">
              <w:rPr>
                <w:rFonts w:eastAsia="Times New Roman" w:cstheme="minorHAnsi"/>
                <w:b/>
                <w:bCs/>
                <w:lang w:eastAsia="hr-HR" w:bidi="hr-HR"/>
              </w:rPr>
              <w:t xml:space="preserve"> III.6.J – </w:t>
            </w:r>
            <w:proofErr w:type="spellStart"/>
            <w:r w:rsidRPr="0086255B">
              <w:rPr>
                <w:rFonts w:eastAsia="Times New Roman" w:cstheme="minorHAnsi"/>
                <w:b/>
                <w:bCs/>
                <w:lang w:eastAsia="hr-HR" w:bidi="hr-HR"/>
              </w:rPr>
              <w:t>Obrazac</w:t>
            </w:r>
            <w:proofErr w:type="spellEnd"/>
            <w:r w:rsidRPr="0086255B">
              <w:rPr>
                <w:rFonts w:eastAsia="Times New Roman" w:cstheme="minorHAnsi"/>
                <w:b/>
                <w:bCs/>
                <w:lang w:eastAsia="hr-HR" w:bidi="hr-HR"/>
              </w:rPr>
              <w:t xml:space="preserve"> o </w:t>
            </w:r>
            <w:proofErr w:type="spellStart"/>
            <w:r w:rsidRPr="0086255B">
              <w:rPr>
                <w:rFonts w:eastAsia="Times New Roman" w:cstheme="minorHAnsi"/>
                <w:b/>
                <w:bCs/>
                <w:lang w:eastAsia="hr-HR" w:bidi="hr-HR"/>
              </w:rPr>
              <w:t>dodatnim</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podacima</w:t>
            </w:r>
            <w:proofErr w:type="spellEnd"/>
            <w:r w:rsidRPr="0086255B">
              <w:rPr>
                <w:rFonts w:eastAsia="Times New Roman" w:cstheme="minorHAnsi"/>
                <w:b/>
                <w:bCs/>
                <w:lang w:eastAsia="hr-HR" w:bidi="hr-HR"/>
              </w:rPr>
              <w:t xml:space="preserve"> za </w:t>
            </w:r>
            <w:proofErr w:type="spellStart"/>
            <w:r w:rsidRPr="0086255B">
              <w:rPr>
                <w:rFonts w:eastAsia="Times New Roman" w:cstheme="minorHAnsi"/>
                <w:b/>
                <w:bCs/>
                <w:lang w:eastAsia="hr-HR" w:bidi="hr-HR"/>
              </w:rPr>
              <w:t>državnu</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pomoć</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dodijeljenu</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na</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osnovu</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Smjernica</w:t>
            </w:r>
            <w:proofErr w:type="spellEnd"/>
            <w:r w:rsidRPr="0086255B">
              <w:rPr>
                <w:rFonts w:eastAsia="Times New Roman" w:cstheme="minorHAnsi"/>
                <w:b/>
                <w:bCs/>
                <w:lang w:eastAsia="hr-HR" w:bidi="hr-HR"/>
              </w:rPr>
              <w:t xml:space="preserve"> o </w:t>
            </w:r>
            <w:proofErr w:type="spellStart"/>
            <w:r w:rsidRPr="0086255B">
              <w:rPr>
                <w:rFonts w:eastAsia="Times New Roman" w:cstheme="minorHAnsi"/>
                <w:b/>
                <w:bCs/>
                <w:lang w:eastAsia="hr-HR" w:bidi="hr-HR"/>
              </w:rPr>
              <w:t>državnoj</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pomoći</w:t>
            </w:r>
            <w:proofErr w:type="spellEnd"/>
            <w:r w:rsidRPr="0086255B">
              <w:rPr>
                <w:rFonts w:eastAsia="Times New Roman" w:cstheme="minorHAnsi"/>
                <w:b/>
                <w:bCs/>
                <w:lang w:eastAsia="hr-HR" w:bidi="hr-HR"/>
              </w:rPr>
              <w:t xml:space="preserve"> za </w:t>
            </w:r>
            <w:proofErr w:type="spellStart"/>
            <w:r w:rsidRPr="0086255B">
              <w:rPr>
                <w:rFonts w:eastAsia="Times New Roman" w:cstheme="minorHAnsi"/>
                <w:b/>
                <w:bCs/>
                <w:lang w:eastAsia="hr-HR" w:bidi="hr-HR"/>
              </w:rPr>
              <w:t>klimu</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zaštitu</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životne</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sredine</w:t>
            </w:r>
            <w:proofErr w:type="spellEnd"/>
            <w:r w:rsidRPr="0086255B">
              <w:rPr>
                <w:rFonts w:eastAsia="Times New Roman" w:cstheme="minorHAnsi"/>
                <w:b/>
                <w:bCs/>
                <w:lang w:eastAsia="hr-HR" w:bidi="hr-HR"/>
              </w:rPr>
              <w:t xml:space="preserve"> i </w:t>
            </w:r>
            <w:proofErr w:type="spellStart"/>
            <w:r w:rsidRPr="0086255B">
              <w:rPr>
                <w:rFonts w:eastAsia="Times New Roman" w:cstheme="minorHAnsi"/>
                <w:b/>
                <w:bCs/>
                <w:lang w:eastAsia="hr-HR" w:bidi="hr-HR"/>
              </w:rPr>
              <w:t>energiju</w:t>
            </w:r>
            <w:proofErr w:type="spellEnd"/>
            <w:r w:rsidRPr="0086255B">
              <w:rPr>
                <w:rFonts w:eastAsia="Times New Roman" w:cstheme="minorHAnsi"/>
                <w:b/>
                <w:bCs/>
                <w:lang w:eastAsia="hr-HR" w:bidi="hr-HR"/>
              </w:rPr>
              <w:t xml:space="preserve"> za 2022.  (u </w:t>
            </w:r>
            <w:proofErr w:type="spellStart"/>
            <w:r w:rsidRPr="0086255B">
              <w:rPr>
                <w:rFonts w:eastAsia="Times New Roman" w:cstheme="minorHAnsi"/>
                <w:b/>
                <w:bCs/>
                <w:lang w:eastAsia="hr-HR" w:bidi="hr-HR"/>
              </w:rPr>
              <w:t>daljem</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tekstu</w:t>
            </w:r>
            <w:proofErr w:type="spellEnd"/>
            <w:r w:rsidRPr="0086255B">
              <w:rPr>
                <w:rFonts w:eastAsia="Times New Roman" w:cstheme="minorHAnsi"/>
                <w:b/>
                <w:bCs/>
                <w:lang w:eastAsia="hr-HR" w:bidi="hr-HR"/>
              </w:rPr>
              <w:t xml:space="preserve"> „CEEAG”) - </w:t>
            </w:r>
            <w:proofErr w:type="spellStart"/>
            <w:r w:rsidRPr="0086255B">
              <w:rPr>
                <w:rFonts w:eastAsia="Times New Roman" w:cstheme="minorHAnsi"/>
                <w:b/>
                <w:bCs/>
                <w:lang w:eastAsia="hr-HR" w:bidi="hr-HR"/>
              </w:rPr>
              <w:t>Odjeljak</w:t>
            </w:r>
            <w:proofErr w:type="spellEnd"/>
            <w:r w:rsidRPr="0086255B">
              <w:rPr>
                <w:rFonts w:eastAsia="Times New Roman" w:cstheme="minorHAnsi"/>
                <w:b/>
                <w:bCs/>
                <w:lang w:eastAsia="hr-HR" w:bidi="hr-HR"/>
              </w:rPr>
              <w:t xml:space="preserve"> 4.8. - </w:t>
            </w:r>
            <w:proofErr w:type="spellStart"/>
            <w:r w:rsidRPr="0086255B">
              <w:rPr>
                <w:rFonts w:eastAsia="Times New Roman" w:cstheme="minorHAnsi"/>
                <w:b/>
                <w:bCs/>
                <w:lang w:eastAsia="hr-HR" w:bidi="hr-HR"/>
              </w:rPr>
              <w:t>Pomoc</w:t>
            </w:r>
            <w:proofErr w:type="spellEnd"/>
            <w:r w:rsidRPr="0086255B">
              <w:rPr>
                <w:rFonts w:eastAsia="Times New Roman" w:cstheme="minorHAnsi"/>
                <w:b/>
                <w:bCs/>
                <w:lang w:eastAsia="hr-HR" w:bidi="hr-HR"/>
              </w:rPr>
              <w:t xml:space="preserve">́ za </w:t>
            </w:r>
            <w:proofErr w:type="spellStart"/>
            <w:r w:rsidRPr="0086255B">
              <w:rPr>
                <w:rFonts w:eastAsia="Times New Roman" w:cstheme="minorHAnsi"/>
                <w:b/>
                <w:bCs/>
                <w:lang w:eastAsia="hr-HR" w:bidi="hr-HR"/>
              </w:rPr>
              <w:t>sigurnost</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snabdijevanja</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električnom</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energijom</w:t>
            </w:r>
            <w:proofErr w:type="spellEnd"/>
          </w:p>
        </w:tc>
      </w:tr>
    </w:tbl>
    <w:p w14:paraId="77A76080" w14:textId="77777777" w:rsidR="00211F70" w:rsidRPr="0086255B" w:rsidRDefault="00211F70" w:rsidP="00211F70">
      <w:pPr>
        <w:spacing w:before="120" w:after="120"/>
        <w:ind w:right="-142"/>
        <w:jc w:val="both"/>
        <w:rPr>
          <w:rFonts w:cstheme="minorHAnsi"/>
          <w:i/>
          <w:noProof/>
        </w:rPr>
      </w:pPr>
      <w:r w:rsidRPr="0086255B">
        <w:rPr>
          <w:rFonts w:cstheme="minorHAnsi"/>
          <w:i/>
          <w:noProof/>
        </w:rPr>
        <w:t xml:space="preserve">Ovaj obrazac o dodatnim podacima odnosi se na mjere obuhvaćene odjeljkom 4.8. CEEAG-a. Ako prijava uključuje mjere na koje se odnosi više odjeljaka CEEAG-a, ispunite i obrazac prijave koji se odnosi na odgovarajući odjeljak CEEAG-a. </w:t>
      </w:r>
    </w:p>
    <w:p w14:paraId="6B2DFF0A" w14:textId="77777777" w:rsidR="00211F70" w:rsidRPr="0086255B" w:rsidRDefault="00211F70" w:rsidP="00211F70">
      <w:pPr>
        <w:spacing w:before="120" w:after="120"/>
        <w:ind w:right="-142"/>
        <w:jc w:val="both"/>
        <w:rPr>
          <w:rFonts w:cstheme="minorHAnsi"/>
          <w:i/>
          <w:noProof/>
        </w:rPr>
      </w:pPr>
      <w:r w:rsidRPr="0086255B">
        <w:rPr>
          <w:rFonts w:cstheme="minorHAnsi"/>
          <w:i/>
          <w:noProof/>
        </w:rPr>
        <w:t>Sva dokumenta koje države članice prilažu uz obrazac prijave moraju biti numerisani, a brojevi dokumenata navode se u odgovarajućim odjeljcima ovog obrasca prijave.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016"/>
      </w:tblGrid>
      <w:tr w:rsidR="00211F70" w:rsidRPr="0086255B" w14:paraId="72AE48DE" w14:textId="77777777" w:rsidTr="00D507D9">
        <w:tc>
          <w:tcPr>
            <w:tcW w:w="5000" w:type="pct"/>
            <w:shd w:val="pct15" w:color="auto" w:fill="auto"/>
          </w:tcPr>
          <w:p w14:paraId="5E9E1C3D" w14:textId="77777777" w:rsidR="00211F70" w:rsidRPr="0086255B" w:rsidRDefault="00211F70" w:rsidP="00D507D9">
            <w:pPr>
              <w:spacing w:before="120" w:after="120"/>
              <w:jc w:val="both"/>
              <w:rPr>
                <w:rFonts w:cstheme="minorHAnsi"/>
                <w:b/>
                <w:iCs/>
                <w:noProof/>
                <w:lang w:eastAsia="hr-HR" w:bidi="hr-HR"/>
              </w:rPr>
            </w:pPr>
            <w:r w:rsidRPr="0086255B">
              <w:rPr>
                <w:rFonts w:cstheme="minorHAnsi"/>
                <w:lang w:eastAsia="hr-HR" w:bidi="hr-HR"/>
              </w:rPr>
              <w:br w:type="page"/>
            </w:r>
            <w:r w:rsidRPr="0086255B">
              <w:rPr>
                <w:rFonts w:cstheme="minorHAnsi"/>
                <w:b/>
                <w:noProof/>
                <w:lang w:eastAsia="hr-HR" w:bidi="hr-HR"/>
              </w:rPr>
              <w:t>Odjeljak A: Rezime glavnih karakteristika prijavljenih mjera</w:t>
            </w:r>
          </w:p>
        </w:tc>
      </w:tr>
    </w:tbl>
    <w:p w14:paraId="232E5E64" w14:textId="77777777" w:rsidR="00211F70" w:rsidRPr="0086255B" w:rsidRDefault="00211F70" w:rsidP="00211F70">
      <w:pPr>
        <w:pStyle w:val="NumPar1"/>
        <w:numPr>
          <w:ilvl w:val="0"/>
          <w:numId w:val="13"/>
        </w:numPr>
        <w:tabs>
          <w:tab w:val="clear" w:pos="850"/>
        </w:tabs>
        <w:ind w:left="360" w:hanging="360"/>
        <w:rPr>
          <w:rFonts w:asciiTheme="minorHAnsi" w:hAnsiTheme="minorHAnsi" w:cstheme="minorHAnsi"/>
          <w:bCs/>
          <w:noProof/>
          <w:sz w:val="22"/>
        </w:rPr>
      </w:pPr>
      <w:r w:rsidRPr="0086255B">
        <w:rPr>
          <w:rFonts w:asciiTheme="minorHAnsi" w:hAnsiTheme="minorHAnsi" w:cstheme="minorHAnsi"/>
          <w:bCs/>
          <w:noProof/>
          <w:sz w:val="22"/>
        </w:rPr>
        <w:t xml:space="preserve"> Kontekst i ciljevi prijavljenih mjera</w:t>
      </w:r>
    </w:p>
    <w:p w14:paraId="44E7F1FA" w14:textId="77777777" w:rsidR="00211F70" w:rsidRPr="0086255B" w:rsidRDefault="00211F70" w:rsidP="00211F70">
      <w:pPr>
        <w:pStyle w:val="NumPar2"/>
        <w:numPr>
          <w:ilvl w:val="1"/>
          <w:numId w:val="13"/>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 xml:space="preserve"> Ako to već nije objašnjeno u odjeljku 5.2. obrasca o opštim podacima (dio I), navedite kontekst i glavni cill mjere. </w:t>
      </w:r>
    </w:p>
    <w:p w14:paraId="113AE0E2" w14:textId="77777777" w:rsidR="00211F70" w:rsidRPr="0086255B" w:rsidRDefault="00211F70" w:rsidP="00211F70">
      <w:pPr>
        <w:tabs>
          <w:tab w:val="left" w:leader="dot" w:pos="9072"/>
        </w:tabs>
        <w:spacing w:before="120" w:after="120"/>
        <w:jc w:val="both"/>
        <w:rPr>
          <w:rFonts w:cstheme="minorHAnsi"/>
          <w:noProof/>
        </w:rPr>
      </w:pPr>
      <w:r w:rsidRPr="0086255B">
        <w:rPr>
          <w:rFonts w:cstheme="minorHAnsi"/>
          <w:noProof/>
        </w:rPr>
        <w:tab/>
      </w:r>
    </w:p>
    <w:p w14:paraId="1AD20882" w14:textId="77777777" w:rsidR="00211F70" w:rsidRPr="0086255B" w:rsidRDefault="00211F70" w:rsidP="00211F70">
      <w:pPr>
        <w:pStyle w:val="NumPar2"/>
        <w:numPr>
          <w:ilvl w:val="1"/>
          <w:numId w:val="13"/>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 xml:space="preserve"> Navedite sve druge ciljeve koji se nastoje postići mjerom. Za sve ciljeve koji se ne tiču sigurnosti snabdijevanja električnom energijom ili zaštite životne sredine, objasnite da li oni mogu dovesti do bilo kakvih poremećaja na unutrašnjem tržištu. </w:t>
      </w:r>
    </w:p>
    <w:p w14:paraId="069D24DE" w14:textId="77777777" w:rsidR="00211F70" w:rsidRPr="0086255B" w:rsidRDefault="00211F70" w:rsidP="00211F70">
      <w:pPr>
        <w:tabs>
          <w:tab w:val="left" w:leader="dot" w:pos="9072"/>
        </w:tabs>
        <w:spacing w:before="120" w:after="120"/>
        <w:jc w:val="both"/>
        <w:rPr>
          <w:rFonts w:cstheme="minorHAnsi"/>
          <w:noProof/>
        </w:rPr>
      </w:pPr>
      <w:r w:rsidRPr="0086255B">
        <w:rPr>
          <w:rFonts w:cstheme="minorHAnsi"/>
          <w:noProof/>
        </w:rPr>
        <w:tab/>
      </w:r>
    </w:p>
    <w:p w14:paraId="559C109E" w14:textId="77777777" w:rsidR="00211F70" w:rsidRPr="0086255B" w:rsidRDefault="00211F70" w:rsidP="00211F70">
      <w:pPr>
        <w:pStyle w:val="NumPar1"/>
        <w:numPr>
          <w:ilvl w:val="0"/>
          <w:numId w:val="13"/>
        </w:numPr>
        <w:tabs>
          <w:tab w:val="clear" w:pos="850"/>
        </w:tabs>
        <w:ind w:left="360" w:hanging="360"/>
        <w:rPr>
          <w:rFonts w:asciiTheme="minorHAnsi" w:hAnsiTheme="minorHAnsi" w:cstheme="minorHAnsi"/>
          <w:bCs/>
          <w:noProof/>
          <w:sz w:val="22"/>
        </w:rPr>
      </w:pPr>
      <w:r w:rsidRPr="0086255B">
        <w:rPr>
          <w:rFonts w:asciiTheme="minorHAnsi" w:hAnsiTheme="minorHAnsi" w:cstheme="minorHAnsi"/>
          <w:bCs/>
          <w:noProof/>
          <w:sz w:val="22"/>
        </w:rPr>
        <w:t>Stupanje na snagu i trajanje</w:t>
      </w:r>
    </w:p>
    <w:p w14:paraId="5F367189" w14:textId="77777777" w:rsidR="00211F70" w:rsidRPr="0086255B" w:rsidRDefault="00211F70" w:rsidP="00211F70">
      <w:pPr>
        <w:pStyle w:val="NumPar2"/>
        <w:numPr>
          <w:ilvl w:val="1"/>
          <w:numId w:val="13"/>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 xml:space="preserve"> Ako već nije navedeno u odjeljku 5.4. obrasca o opštim podacima (dio I), navedite datum na koji bi šema pomoći trebalo da stupi na snagu.</w:t>
      </w:r>
    </w:p>
    <w:p w14:paraId="46AE8370" w14:textId="77777777" w:rsidR="00211F70" w:rsidRPr="0086255B" w:rsidRDefault="00211F70" w:rsidP="00211F70">
      <w:pPr>
        <w:tabs>
          <w:tab w:val="left" w:leader="dot" w:pos="9072"/>
        </w:tabs>
        <w:spacing w:before="120" w:after="120"/>
        <w:jc w:val="both"/>
        <w:rPr>
          <w:rFonts w:cstheme="minorHAnsi"/>
          <w:noProof/>
        </w:rPr>
      </w:pPr>
      <w:r w:rsidRPr="0086255B">
        <w:rPr>
          <w:rFonts w:cstheme="minorHAnsi"/>
          <w:noProof/>
        </w:rPr>
        <w:tab/>
      </w:r>
    </w:p>
    <w:p w14:paraId="2FF54464" w14:textId="77777777" w:rsidR="00211F70" w:rsidRPr="0086255B" w:rsidRDefault="00211F70" w:rsidP="00211F70">
      <w:pPr>
        <w:pStyle w:val="NumPar2"/>
        <w:numPr>
          <w:ilvl w:val="1"/>
          <w:numId w:val="13"/>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 xml:space="preserve"> Navedite trajanje šeme.</w:t>
      </w:r>
      <w:r w:rsidRPr="0086255B">
        <w:rPr>
          <w:rStyle w:val="FootnoteReference"/>
          <w:rFonts w:asciiTheme="minorHAnsi" w:hAnsiTheme="minorHAnsi" w:cstheme="minorHAnsi"/>
          <w:noProof/>
          <w:sz w:val="22"/>
          <w:szCs w:val="22"/>
        </w:rPr>
        <w:footnoteReference w:id="1"/>
      </w:r>
    </w:p>
    <w:p w14:paraId="6F4D8EF6" w14:textId="77777777" w:rsidR="00211F70" w:rsidRPr="0086255B" w:rsidRDefault="00211F70" w:rsidP="00211F70">
      <w:pPr>
        <w:tabs>
          <w:tab w:val="left" w:leader="dot" w:pos="9072"/>
        </w:tabs>
        <w:spacing w:before="120" w:after="120"/>
        <w:jc w:val="both"/>
        <w:rPr>
          <w:rFonts w:cstheme="minorHAnsi"/>
          <w:noProof/>
        </w:rPr>
      </w:pPr>
      <w:r w:rsidRPr="0086255B">
        <w:rPr>
          <w:rFonts w:cstheme="minorHAnsi"/>
          <w:noProof/>
        </w:rPr>
        <w:tab/>
      </w:r>
    </w:p>
    <w:p w14:paraId="0D725D05" w14:textId="77777777" w:rsidR="00211F70" w:rsidRPr="0086255B" w:rsidRDefault="00211F70" w:rsidP="00211F70">
      <w:pPr>
        <w:pStyle w:val="NumPar1"/>
        <w:numPr>
          <w:ilvl w:val="0"/>
          <w:numId w:val="13"/>
        </w:numPr>
        <w:tabs>
          <w:tab w:val="clear" w:pos="850"/>
        </w:tabs>
        <w:ind w:left="360" w:hanging="360"/>
        <w:rPr>
          <w:rFonts w:asciiTheme="minorHAnsi" w:hAnsiTheme="minorHAnsi" w:cstheme="minorHAnsi"/>
          <w:bCs/>
          <w:noProof/>
          <w:sz w:val="22"/>
        </w:rPr>
      </w:pPr>
      <w:r w:rsidRPr="0086255B">
        <w:rPr>
          <w:rFonts w:asciiTheme="minorHAnsi" w:hAnsiTheme="minorHAnsi" w:cstheme="minorHAnsi"/>
          <w:bCs/>
          <w:noProof/>
          <w:sz w:val="22"/>
        </w:rPr>
        <w:t>Korisnici</w:t>
      </w:r>
      <w:r w:rsidRPr="0086255B">
        <w:rPr>
          <w:rFonts w:asciiTheme="minorHAnsi" w:hAnsiTheme="minorHAnsi" w:cstheme="minorHAnsi"/>
          <w:bCs/>
          <w:noProof/>
          <w:sz w:val="22"/>
        </w:rPr>
        <w:tab/>
      </w:r>
    </w:p>
    <w:p w14:paraId="776740C9" w14:textId="77777777" w:rsidR="00211F70" w:rsidRPr="0086255B" w:rsidRDefault="00211F70" w:rsidP="00211F70">
      <w:pPr>
        <w:pStyle w:val="NumPar2"/>
        <w:numPr>
          <w:ilvl w:val="1"/>
          <w:numId w:val="13"/>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 xml:space="preserve"> Ako već nisu opisani u odjeljku 3 obrasca o opštim podacima (dio I), opišite (potencijalne) korisnike mjera.</w:t>
      </w:r>
    </w:p>
    <w:p w14:paraId="4F2D5328" w14:textId="77777777" w:rsidR="00211F70" w:rsidRPr="0086255B" w:rsidRDefault="00211F70" w:rsidP="00211F70">
      <w:pPr>
        <w:tabs>
          <w:tab w:val="left" w:leader="dot" w:pos="9072"/>
        </w:tabs>
        <w:spacing w:before="120" w:after="120"/>
        <w:jc w:val="both"/>
        <w:rPr>
          <w:rFonts w:cstheme="minorHAnsi"/>
          <w:noProof/>
        </w:rPr>
      </w:pPr>
      <w:r w:rsidRPr="0086255B">
        <w:rPr>
          <w:rFonts w:cstheme="minorHAnsi"/>
          <w:noProof/>
        </w:rPr>
        <w:tab/>
      </w:r>
    </w:p>
    <w:p w14:paraId="18DC145A" w14:textId="77777777" w:rsidR="00211F70" w:rsidRPr="0086255B" w:rsidRDefault="00211F70" w:rsidP="00211F70">
      <w:pPr>
        <w:pStyle w:val="NumPar2"/>
        <w:numPr>
          <w:ilvl w:val="1"/>
          <w:numId w:val="13"/>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 xml:space="preserve"> Navedite lokaciju korisnika (tj. da li su za učestvovanje u mjeri prihvatljivi samo privredni subjekti koji se nalaze u predmetnoj državi članici ili i oni iz drugih država članica).</w:t>
      </w:r>
    </w:p>
    <w:p w14:paraId="4E058CF9" w14:textId="77777777" w:rsidR="00211F70" w:rsidRPr="0086255B" w:rsidRDefault="00211F70" w:rsidP="00211F70">
      <w:pPr>
        <w:tabs>
          <w:tab w:val="left" w:leader="dot" w:pos="9072"/>
        </w:tabs>
        <w:spacing w:before="120" w:after="120"/>
        <w:jc w:val="both"/>
        <w:rPr>
          <w:rFonts w:cstheme="minorHAnsi"/>
          <w:noProof/>
        </w:rPr>
      </w:pPr>
      <w:r w:rsidRPr="0086255B">
        <w:rPr>
          <w:rFonts w:cstheme="minorHAnsi"/>
          <w:noProof/>
        </w:rPr>
        <w:tab/>
      </w:r>
    </w:p>
    <w:p w14:paraId="45FE02D9" w14:textId="77777777" w:rsidR="00211F70" w:rsidRPr="0086255B" w:rsidRDefault="00211F70" w:rsidP="00211F70">
      <w:pPr>
        <w:pStyle w:val="NumPar2"/>
        <w:numPr>
          <w:ilvl w:val="1"/>
          <w:numId w:val="13"/>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lastRenderedPageBreak/>
        <w:t xml:space="preserve"> Kako bi se ocijenila usklađenost sa tačkom 15 CEEAG-a, navedite da li se pomoć dodjeljuje u okviru mjera u korist privrednog društva (individualno ili u okviru šeme) koji nije izvršio nalog za povraćaj sredstava na osnovu prethodne odluke Komisije kojom je pomoć ocijenjena kao nezakonita i neusklađena sa unutrašnjim tržištem. </w:t>
      </w:r>
    </w:p>
    <w:p w14:paraId="3CC0293B" w14:textId="77777777" w:rsidR="00211F70" w:rsidRPr="0086255B" w:rsidRDefault="00211F70" w:rsidP="00211F70">
      <w:pPr>
        <w:pStyle w:val="Text1"/>
        <w:spacing w:after="120"/>
        <w:ind w:left="0" w:firstLine="0"/>
        <w:rPr>
          <w:rFonts w:asciiTheme="minorHAnsi" w:hAnsiTheme="minorHAnsi" w:cstheme="minorHAnsi"/>
          <w:noProof/>
          <w:sz w:val="22"/>
          <w:szCs w:val="22"/>
        </w:rPr>
      </w:pPr>
      <w:r w:rsidRPr="0086255B">
        <w:rPr>
          <w:rFonts w:asciiTheme="minorHAnsi" w:hAnsiTheme="minorHAnsi" w:cstheme="minorHAnsi"/>
          <w:noProof/>
          <w:sz w:val="22"/>
          <w:szCs w:val="22"/>
        </w:rPr>
        <w:t>Ako se takva pomoć dodjeljuje, navedite podatke o iznosu pomoći koji još nije vraćen kako bi Komisija to uzela u obzir pri ocjeni mjere pomoći.</w:t>
      </w:r>
    </w:p>
    <w:p w14:paraId="32FA9394" w14:textId="77777777" w:rsidR="00211F70" w:rsidRPr="0086255B" w:rsidRDefault="00211F70" w:rsidP="00211F70">
      <w:pPr>
        <w:tabs>
          <w:tab w:val="left" w:leader="dot" w:pos="9072"/>
        </w:tabs>
        <w:spacing w:before="120" w:after="120"/>
        <w:jc w:val="both"/>
        <w:rPr>
          <w:rFonts w:cstheme="minorHAnsi"/>
          <w:noProof/>
        </w:rPr>
      </w:pPr>
      <w:r w:rsidRPr="0086255B">
        <w:rPr>
          <w:rFonts w:cstheme="minorHAnsi"/>
          <w:noProof/>
        </w:rPr>
        <w:tab/>
      </w:r>
    </w:p>
    <w:p w14:paraId="51FC51C2" w14:textId="77777777" w:rsidR="00211F70" w:rsidRPr="0086255B" w:rsidRDefault="00211F70" w:rsidP="00211F70">
      <w:pPr>
        <w:pStyle w:val="NumPar1"/>
        <w:numPr>
          <w:ilvl w:val="0"/>
          <w:numId w:val="13"/>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Potvrdite da mjera ne uključuje pomoć za djelatnosti koje nisu obuhvaćene područjem primjene CEEAG-a (vidjeti tačku 13 CEEAG-a). U suprotnom navedite pojedinosti.</w:t>
      </w:r>
    </w:p>
    <w:p w14:paraId="57D953C5" w14:textId="77777777" w:rsidR="00211F70" w:rsidRPr="0086255B" w:rsidRDefault="00211F70" w:rsidP="00211F70">
      <w:pPr>
        <w:tabs>
          <w:tab w:val="left" w:leader="dot" w:pos="9072"/>
        </w:tabs>
        <w:spacing w:before="120" w:after="120"/>
        <w:jc w:val="both"/>
        <w:rPr>
          <w:rFonts w:cstheme="minorHAnsi"/>
          <w:noProof/>
        </w:rPr>
      </w:pPr>
      <w:r w:rsidRPr="0086255B">
        <w:rPr>
          <w:rFonts w:cstheme="minorHAnsi"/>
          <w:noProof/>
        </w:rPr>
        <w:tab/>
      </w:r>
    </w:p>
    <w:p w14:paraId="476F93AB" w14:textId="77777777" w:rsidR="00211F70" w:rsidRPr="0086255B" w:rsidRDefault="00211F70" w:rsidP="00211F70">
      <w:pPr>
        <w:pStyle w:val="NumPar1"/>
        <w:numPr>
          <w:ilvl w:val="0"/>
          <w:numId w:val="13"/>
        </w:numPr>
        <w:tabs>
          <w:tab w:val="clear" w:pos="850"/>
        </w:tabs>
        <w:ind w:left="360" w:hanging="360"/>
        <w:rPr>
          <w:rFonts w:asciiTheme="minorHAnsi" w:hAnsiTheme="minorHAnsi" w:cstheme="minorHAnsi"/>
          <w:bCs/>
          <w:noProof/>
          <w:sz w:val="22"/>
        </w:rPr>
      </w:pPr>
      <w:r w:rsidRPr="0086255B">
        <w:rPr>
          <w:rFonts w:asciiTheme="minorHAnsi" w:hAnsiTheme="minorHAnsi" w:cstheme="minorHAnsi"/>
          <w:bCs/>
          <w:noProof/>
          <w:sz w:val="22"/>
        </w:rPr>
        <w:t xml:space="preserve">Budžet </w:t>
      </w:r>
    </w:p>
    <w:p w14:paraId="1E80DE91" w14:textId="77777777" w:rsidR="00211F70" w:rsidRPr="0086255B" w:rsidRDefault="00211F70" w:rsidP="00211F70">
      <w:pPr>
        <w:pStyle w:val="NumPar2"/>
        <w:numPr>
          <w:ilvl w:val="1"/>
          <w:numId w:val="13"/>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 xml:space="preserve"> Ako već nije navedeno u tabeli u odjeljku 7.1. obrasca o opštim podacima (dio I), navedite godišnji i/ili ukupni budžet za cijelo trajanje mjera; ako ukupan budžet nije poznat (npr. zato što zavisi od rezultata tendera), navedite procijenjeni budžet, uključujući pretpostavke na osnovu kojih je izračunat.</w:t>
      </w:r>
      <w:r w:rsidRPr="0086255B">
        <w:rPr>
          <w:rStyle w:val="FootnoteReference"/>
          <w:rFonts w:asciiTheme="minorHAnsi" w:hAnsiTheme="minorHAnsi" w:cstheme="minorHAnsi"/>
          <w:noProof/>
          <w:sz w:val="22"/>
          <w:szCs w:val="22"/>
        </w:rPr>
        <w:footnoteReference w:id="2"/>
      </w:r>
    </w:p>
    <w:p w14:paraId="50E7132D" w14:textId="77777777" w:rsidR="00211F70" w:rsidRPr="0086255B" w:rsidRDefault="00211F70" w:rsidP="00211F70">
      <w:pPr>
        <w:tabs>
          <w:tab w:val="left" w:leader="dot" w:pos="9072"/>
        </w:tabs>
        <w:spacing w:before="120" w:after="120"/>
        <w:jc w:val="both"/>
        <w:rPr>
          <w:rFonts w:cstheme="minorHAnsi"/>
          <w:noProof/>
        </w:rPr>
      </w:pPr>
      <w:r w:rsidRPr="0086255B">
        <w:rPr>
          <w:rFonts w:cstheme="minorHAnsi"/>
          <w:noProof/>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016"/>
      </w:tblGrid>
      <w:tr w:rsidR="00211F70" w:rsidRPr="0086255B" w14:paraId="27A9C9EB" w14:textId="77777777" w:rsidTr="00D507D9">
        <w:tc>
          <w:tcPr>
            <w:tcW w:w="5000" w:type="pct"/>
            <w:shd w:val="pct15" w:color="auto" w:fill="auto"/>
          </w:tcPr>
          <w:p w14:paraId="4BD78F85" w14:textId="77777777" w:rsidR="00211F70" w:rsidRPr="0086255B" w:rsidRDefault="00211F70" w:rsidP="00D507D9">
            <w:pPr>
              <w:spacing w:before="120" w:after="120"/>
              <w:jc w:val="both"/>
              <w:rPr>
                <w:rFonts w:cstheme="minorHAnsi"/>
                <w:b/>
                <w:iCs/>
                <w:noProof/>
                <w:lang w:eastAsia="hr-HR" w:bidi="hr-HR"/>
              </w:rPr>
            </w:pPr>
            <w:r w:rsidRPr="0086255B">
              <w:rPr>
                <w:rFonts w:cstheme="minorHAnsi"/>
                <w:lang w:eastAsia="hr-HR" w:bidi="hr-HR"/>
              </w:rPr>
              <w:br w:type="page"/>
            </w:r>
            <w:r w:rsidRPr="0086255B">
              <w:rPr>
                <w:rFonts w:cstheme="minorHAnsi"/>
                <w:b/>
                <w:noProof/>
                <w:lang w:eastAsia="hr-HR" w:bidi="hr-HR"/>
              </w:rPr>
              <w:t>Odjeljak B: Ocjena usklađenosti pomoći</w:t>
            </w:r>
          </w:p>
        </w:tc>
      </w:tr>
    </w:tbl>
    <w:p w14:paraId="37B405BA" w14:textId="77777777" w:rsidR="00211F70" w:rsidRPr="0086255B" w:rsidRDefault="00211F70" w:rsidP="00211F70">
      <w:pPr>
        <w:pStyle w:val="Heading1"/>
        <w:keepNext/>
        <w:numPr>
          <w:ilvl w:val="0"/>
          <w:numId w:val="14"/>
        </w:numPr>
        <w:tabs>
          <w:tab w:val="clear" w:pos="850"/>
        </w:tabs>
        <w:spacing w:before="120" w:after="120"/>
        <w:ind w:left="360" w:right="0" w:hanging="360"/>
        <w:jc w:val="both"/>
        <w:rPr>
          <w:rFonts w:asciiTheme="minorHAnsi" w:hAnsiTheme="minorHAnsi" w:cstheme="minorHAnsi"/>
          <w:noProof/>
          <w:sz w:val="22"/>
          <w:szCs w:val="22"/>
        </w:rPr>
      </w:pPr>
      <w:r w:rsidRPr="0086255B">
        <w:rPr>
          <w:rFonts w:asciiTheme="minorHAnsi" w:hAnsiTheme="minorHAnsi" w:cstheme="minorHAnsi"/>
          <w:noProof/>
          <w:sz w:val="22"/>
          <w:szCs w:val="22"/>
        </w:rPr>
        <w:t>Pozitivan uslov: pomoć mora da olakšava razvoj ekonomske djelatnosti</w:t>
      </w:r>
    </w:p>
    <w:p w14:paraId="104C83BE" w14:textId="77777777" w:rsidR="00211F70" w:rsidRPr="0086255B" w:rsidRDefault="00211F70" w:rsidP="00211F70">
      <w:pPr>
        <w:pStyle w:val="Heading2"/>
        <w:keepLines w:val="0"/>
        <w:numPr>
          <w:ilvl w:val="1"/>
          <w:numId w:val="14"/>
        </w:numPr>
        <w:tabs>
          <w:tab w:val="clear" w:pos="850"/>
        </w:tabs>
        <w:spacing w:before="120" w:after="120"/>
        <w:ind w:left="360" w:hanging="360"/>
        <w:rPr>
          <w:rFonts w:asciiTheme="minorHAnsi" w:hAnsiTheme="minorHAnsi" w:cstheme="minorHAnsi"/>
          <w:noProof/>
          <w:color w:val="auto"/>
          <w:sz w:val="22"/>
          <w:szCs w:val="22"/>
        </w:rPr>
      </w:pPr>
      <w:r w:rsidRPr="0086255B">
        <w:rPr>
          <w:rFonts w:asciiTheme="minorHAnsi" w:hAnsiTheme="minorHAnsi" w:cstheme="minorHAnsi"/>
          <w:noProof/>
          <w:color w:val="auto"/>
          <w:sz w:val="22"/>
          <w:szCs w:val="22"/>
        </w:rPr>
        <w:t xml:space="preserve"> Doprinos razvoju ekonomske djelatnosti</w:t>
      </w:r>
    </w:p>
    <w:p w14:paraId="6266DB53" w14:textId="77777777" w:rsidR="00211F70" w:rsidRPr="0086255B" w:rsidRDefault="00211F70" w:rsidP="00211F70">
      <w:pPr>
        <w:spacing w:before="120" w:after="120"/>
        <w:jc w:val="both"/>
        <w:rPr>
          <w:rFonts w:cstheme="minorHAnsi"/>
          <w:i/>
          <w:noProof/>
        </w:rPr>
      </w:pPr>
      <w:r w:rsidRPr="0086255B">
        <w:rPr>
          <w:rFonts w:cstheme="minorHAnsi"/>
          <w:i/>
          <w:noProof/>
        </w:rPr>
        <w:t xml:space="preserve">Za unos podataka u ovom odjeljku vidjeti odjeljke 3.1.1. (tačke od 23 do 25) i odjeljke 4.8.1. i 4.8.2. (tačke od 325 do 328) CEEAG-a. </w:t>
      </w:r>
    </w:p>
    <w:p w14:paraId="1EF8EE0C" w14:textId="77777777" w:rsidR="00211F70" w:rsidRPr="0086255B" w:rsidRDefault="00211F70" w:rsidP="00211F70">
      <w:pPr>
        <w:pStyle w:val="NumPar1"/>
        <w:numPr>
          <w:ilvl w:val="0"/>
          <w:numId w:val="13"/>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U članu 107 stav 3 tačka (c) Ugovora o funkcioniranju Evropske unije („Ugovor”) predviđena je mogućnost da Komisija usklađenom može proglasiti „pomoć za olakšavanje razvoja određenih ekonomskih djelatnosti ili određenih ekonomskih područja ako takva pomoć ne utiče negativno na  uslove konkurencije i trgovine u mjeri u kojoj bi to bilo suprotno zajedničkom interesu”. Stoga pomoć koja je usklađena na osnovu te odredbe Ugovora mora doprinijeti razvoju određene ekonomske djelatnosti. </w:t>
      </w:r>
    </w:p>
    <w:p w14:paraId="4ED1159B" w14:textId="77777777" w:rsidR="00211F70" w:rsidRPr="0086255B" w:rsidRDefault="00211F70" w:rsidP="00211F70">
      <w:pPr>
        <w:pStyle w:val="Text1"/>
        <w:spacing w:after="120"/>
        <w:ind w:left="0" w:firstLine="0"/>
        <w:rPr>
          <w:rFonts w:asciiTheme="minorHAnsi" w:hAnsiTheme="minorHAnsi" w:cstheme="minorHAnsi"/>
          <w:noProof/>
          <w:sz w:val="22"/>
          <w:szCs w:val="22"/>
        </w:rPr>
      </w:pPr>
      <w:r w:rsidRPr="0086255B">
        <w:rPr>
          <w:rFonts w:asciiTheme="minorHAnsi" w:hAnsiTheme="minorHAnsi" w:cstheme="minorHAnsi"/>
          <w:noProof/>
          <w:sz w:val="22"/>
          <w:szCs w:val="22"/>
        </w:rPr>
        <w:t>Kako bi se ocijenila usklađenost sa tačkom 23 CEEAG-a, navedite ekonomske djelatnosti koje će biti olakšane kao rezultat pomoći i način na koji se podstiče razvoj tih djelatnosti. U tački 328 CEEAG-a navedeni su primjeri takvih ekonomskih djelatnosti u pogledu mjera usmjerenih na povećanje sigurnosti snabdijevanja električnom energijom.</w:t>
      </w:r>
    </w:p>
    <w:p w14:paraId="4636AD94" w14:textId="77777777" w:rsidR="00211F70" w:rsidRPr="0086255B" w:rsidRDefault="00211F70" w:rsidP="00211F70">
      <w:pPr>
        <w:tabs>
          <w:tab w:val="left" w:leader="dot" w:pos="9072"/>
        </w:tabs>
        <w:spacing w:before="120" w:after="120"/>
        <w:jc w:val="both"/>
        <w:rPr>
          <w:rFonts w:cstheme="minorHAnsi"/>
          <w:noProof/>
        </w:rPr>
      </w:pPr>
      <w:r w:rsidRPr="0086255B">
        <w:rPr>
          <w:rFonts w:cstheme="minorHAnsi"/>
          <w:noProof/>
        </w:rPr>
        <w:tab/>
      </w:r>
    </w:p>
    <w:p w14:paraId="3AADF18A" w14:textId="77777777" w:rsidR="00211F70" w:rsidRPr="0086255B" w:rsidRDefault="00211F70" w:rsidP="00211F70">
      <w:pPr>
        <w:pStyle w:val="NumPar1"/>
        <w:numPr>
          <w:ilvl w:val="0"/>
          <w:numId w:val="13"/>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se ocijenila usklađenost sa tačkom 25 CEEAG-a, opišite i „da li će i kako pomoć doprinijeti postizanju ciljeva klimatske politike, politike zaštite životne sredine i energetike Unije, a posebno očekivane koristi od pomoći u smislu njenog značajnog doprinosa zaštiti životne sredine, uključujući ublažavanje klimatskih promjena, ili efikasnom funkcionisanju unutrašnjeg energetskog tržišta”.</w:t>
      </w:r>
    </w:p>
    <w:p w14:paraId="3E180EC1" w14:textId="77777777" w:rsidR="00211F70" w:rsidRPr="0086255B" w:rsidRDefault="00211F70" w:rsidP="00211F70">
      <w:pPr>
        <w:tabs>
          <w:tab w:val="left" w:leader="dot" w:pos="9072"/>
        </w:tabs>
        <w:spacing w:before="120" w:after="120"/>
        <w:jc w:val="both"/>
        <w:rPr>
          <w:rFonts w:cstheme="minorHAnsi"/>
          <w:noProof/>
        </w:rPr>
      </w:pPr>
      <w:r w:rsidRPr="0086255B">
        <w:rPr>
          <w:rFonts w:cstheme="minorHAnsi"/>
          <w:noProof/>
        </w:rPr>
        <w:tab/>
      </w:r>
    </w:p>
    <w:p w14:paraId="3BFAD0DD" w14:textId="77777777" w:rsidR="00211F70" w:rsidRPr="0086255B" w:rsidRDefault="00211F70" w:rsidP="00211F70">
      <w:pPr>
        <w:pStyle w:val="NumPar1"/>
        <w:numPr>
          <w:ilvl w:val="0"/>
          <w:numId w:val="13"/>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lastRenderedPageBreak/>
        <w:t>Opišite uslove prihvatljivosti koji se primjenjuju na korisnike (na primjer uključujući sve tehničke, ekološke (npr. dozvole), finansijske (npr. garancije) ili druge uslove koje korisnici moraju da ispune).</w:t>
      </w:r>
    </w:p>
    <w:p w14:paraId="202B8474" w14:textId="77777777" w:rsidR="00211F70" w:rsidRPr="0086255B" w:rsidRDefault="00211F70" w:rsidP="00211F70">
      <w:pPr>
        <w:tabs>
          <w:tab w:val="left" w:leader="dot" w:pos="9072"/>
        </w:tabs>
        <w:spacing w:before="120" w:after="120"/>
        <w:jc w:val="both"/>
        <w:rPr>
          <w:rFonts w:cstheme="minorHAnsi"/>
          <w:noProof/>
        </w:rPr>
      </w:pPr>
      <w:r w:rsidRPr="0086255B">
        <w:rPr>
          <w:rFonts w:cstheme="minorHAnsi"/>
          <w:noProof/>
        </w:rPr>
        <w:tab/>
      </w:r>
    </w:p>
    <w:p w14:paraId="40852BA2" w14:textId="77777777" w:rsidR="00211F70" w:rsidRPr="0086255B" w:rsidRDefault="00211F70" w:rsidP="00211F70">
      <w:pPr>
        <w:pStyle w:val="NumPar1"/>
        <w:numPr>
          <w:ilvl w:val="0"/>
          <w:numId w:val="13"/>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Navedite podatke o obrazloženju mjere, kako je navedeno u odjeljku 4.8.1. (tačka 325) CEEAG-a.</w:t>
      </w:r>
    </w:p>
    <w:p w14:paraId="4FE7C95B" w14:textId="77777777" w:rsidR="00211F70" w:rsidRPr="0086255B" w:rsidRDefault="00211F70" w:rsidP="00211F70">
      <w:pPr>
        <w:tabs>
          <w:tab w:val="left" w:leader="dot" w:pos="9072"/>
        </w:tabs>
        <w:spacing w:before="120" w:after="120"/>
        <w:jc w:val="both"/>
        <w:rPr>
          <w:rFonts w:cstheme="minorHAnsi"/>
          <w:noProof/>
        </w:rPr>
      </w:pPr>
      <w:r w:rsidRPr="0086255B">
        <w:rPr>
          <w:rFonts w:cstheme="minorHAnsi"/>
          <w:noProof/>
        </w:rPr>
        <w:tab/>
      </w:r>
    </w:p>
    <w:p w14:paraId="0A248A4B" w14:textId="77777777" w:rsidR="00211F70" w:rsidRPr="0086255B" w:rsidRDefault="00211F70" w:rsidP="00211F70">
      <w:pPr>
        <w:pStyle w:val="NumPar1"/>
        <w:numPr>
          <w:ilvl w:val="0"/>
          <w:numId w:val="13"/>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Navedite podatke o području primjene mjere, kako je navedeno u odjeljku 4.8.2. (tačke od 326 do 327) CEEAG-a.</w:t>
      </w:r>
      <w:r w:rsidRPr="0086255B">
        <w:rPr>
          <w:rFonts w:asciiTheme="minorHAnsi" w:hAnsiTheme="minorHAnsi" w:cstheme="minorHAnsi"/>
          <w:noProof/>
          <w:sz w:val="22"/>
        </w:rPr>
        <w:tab/>
      </w:r>
    </w:p>
    <w:p w14:paraId="36DA17BE" w14:textId="77777777" w:rsidR="00211F70" w:rsidRPr="0086255B" w:rsidRDefault="00211F70" w:rsidP="00211F70">
      <w:pPr>
        <w:tabs>
          <w:tab w:val="left" w:leader="dot" w:pos="9072"/>
        </w:tabs>
        <w:spacing w:before="120" w:after="120"/>
        <w:jc w:val="both"/>
        <w:rPr>
          <w:rFonts w:cstheme="minorHAnsi"/>
          <w:noProof/>
        </w:rPr>
      </w:pPr>
      <w:r w:rsidRPr="0086255B">
        <w:rPr>
          <w:rFonts w:cstheme="minorHAnsi"/>
          <w:noProof/>
        </w:rPr>
        <w:tab/>
      </w:r>
    </w:p>
    <w:p w14:paraId="67CDAC36" w14:textId="77777777" w:rsidR="00211F70" w:rsidRPr="0086255B" w:rsidRDefault="00211F70" w:rsidP="00211F70">
      <w:pPr>
        <w:pStyle w:val="Heading2"/>
        <w:keepLines w:val="0"/>
        <w:numPr>
          <w:ilvl w:val="1"/>
          <w:numId w:val="14"/>
        </w:numPr>
        <w:tabs>
          <w:tab w:val="clear" w:pos="850"/>
        </w:tabs>
        <w:spacing w:before="120" w:after="120"/>
        <w:ind w:left="360" w:hanging="360"/>
        <w:rPr>
          <w:rFonts w:asciiTheme="minorHAnsi" w:hAnsiTheme="minorHAnsi" w:cstheme="minorHAnsi"/>
          <w:noProof/>
          <w:color w:val="auto"/>
          <w:sz w:val="22"/>
          <w:szCs w:val="22"/>
        </w:rPr>
      </w:pPr>
      <w:r w:rsidRPr="0086255B">
        <w:rPr>
          <w:rFonts w:asciiTheme="minorHAnsi" w:hAnsiTheme="minorHAnsi" w:cstheme="minorHAnsi"/>
          <w:noProof/>
          <w:color w:val="auto"/>
          <w:sz w:val="22"/>
          <w:szCs w:val="22"/>
        </w:rPr>
        <w:t xml:space="preserve"> Podsticajni efekat</w:t>
      </w:r>
    </w:p>
    <w:p w14:paraId="58548BCD" w14:textId="77777777" w:rsidR="00211F70" w:rsidRPr="0086255B" w:rsidRDefault="00211F70" w:rsidP="00211F70">
      <w:pPr>
        <w:spacing w:before="120" w:after="120"/>
        <w:jc w:val="both"/>
        <w:rPr>
          <w:rFonts w:cstheme="minorHAnsi"/>
          <w:i/>
          <w:noProof/>
        </w:rPr>
      </w:pPr>
      <w:r w:rsidRPr="0086255B">
        <w:rPr>
          <w:rFonts w:cstheme="minorHAnsi"/>
          <w:i/>
          <w:noProof/>
        </w:rPr>
        <w:t xml:space="preserve">Za unos podataka u ovom odjeljku vidjeti tačku 329 i odjeljak 3.1.2. (tačke 29, 30, 31 i 32) CEEAG-a. </w:t>
      </w:r>
    </w:p>
    <w:p w14:paraId="3E841ECD" w14:textId="77777777" w:rsidR="00211F70" w:rsidRPr="0086255B" w:rsidRDefault="00211F70" w:rsidP="00211F70">
      <w:pPr>
        <w:pStyle w:val="NumPar1"/>
        <w:numPr>
          <w:ilvl w:val="0"/>
          <w:numId w:val="13"/>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se dokazala usklađenost sa tačkama 29 i 31 CEEAG-a:</w:t>
      </w:r>
    </w:p>
    <w:p w14:paraId="6D9E6474" w14:textId="77777777" w:rsidR="00211F70" w:rsidRPr="0086255B" w:rsidRDefault="00211F70" w:rsidP="00211F70">
      <w:pPr>
        <w:pStyle w:val="ListParagraph"/>
        <w:numPr>
          <w:ilvl w:val="0"/>
          <w:numId w:val="8"/>
        </w:numPr>
        <w:spacing w:after="120"/>
        <w:contextualSpacing w:val="0"/>
        <w:rPr>
          <w:rFonts w:asciiTheme="minorHAnsi" w:hAnsiTheme="minorHAnsi" w:cstheme="minorHAnsi"/>
          <w:noProof/>
          <w:sz w:val="22"/>
          <w:szCs w:val="22"/>
        </w:rPr>
      </w:pPr>
      <w:r w:rsidRPr="0086255B">
        <w:rPr>
          <w:rFonts w:asciiTheme="minorHAnsi" w:hAnsiTheme="minorHAnsi" w:cstheme="minorHAnsi"/>
          <w:noProof/>
          <w:sz w:val="22"/>
          <w:szCs w:val="22"/>
        </w:rPr>
        <w:t>potvrdite da radovi na projektu ili djelatnosti nisu započeli prije nego što je korisnik nacionalnim organima podnio pisani zahtjev za pomoć;</w:t>
      </w:r>
    </w:p>
    <w:p w14:paraId="7080A901" w14:textId="77777777" w:rsidR="00211F70" w:rsidRPr="0086255B" w:rsidRDefault="00211F70" w:rsidP="00211F70">
      <w:pPr>
        <w:spacing w:before="120" w:after="120"/>
        <w:jc w:val="both"/>
        <w:rPr>
          <w:rFonts w:cstheme="minorHAnsi"/>
          <w:noProof/>
        </w:rPr>
      </w:pPr>
      <w:r w:rsidRPr="0086255B">
        <w:rPr>
          <w:rFonts w:cstheme="minorHAnsi"/>
          <w:noProof/>
        </w:rPr>
        <w:t>..................................................................................................................................................................</w:t>
      </w:r>
    </w:p>
    <w:p w14:paraId="12E076BD" w14:textId="77777777" w:rsidR="00211F70" w:rsidRPr="0086255B" w:rsidRDefault="00211F70" w:rsidP="00211F70">
      <w:pPr>
        <w:spacing w:before="120" w:after="120"/>
        <w:ind w:left="720"/>
        <w:jc w:val="both"/>
        <w:rPr>
          <w:rFonts w:cstheme="minorHAnsi"/>
          <w:i/>
          <w:noProof/>
        </w:rPr>
      </w:pPr>
      <w:r w:rsidRPr="0086255B">
        <w:rPr>
          <w:rFonts w:cstheme="minorHAnsi"/>
          <w:i/>
          <w:noProof/>
        </w:rPr>
        <w:t xml:space="preserve">  ILI</w:t>
      </w:r>
    </w:p>
    <w:p w14:paraId="4837EF60" w14:textId="77777777" w:rsidR="00211F70" w:rsidRPr="0086255B" w:rsidRDefault="00211F70" w:rsidP="00211F70">
      <w:pPr>
        <w:pStyle w:val="ListParagraph"/>
        <w:numPr>
          <w:ilvl w:val="0"/>
          <w:numId w:val="8"/>
        </w:numPr>
        <w:spacing w:after="120"/>
        <w:rPr>
          <w:rFonts w:asciiTheme="minorHAnsi" w:hAnsiTheme="minorHAnsi" w:cstheme="minorHAnsi"/>
          <w:noProof/>
          <w:sz w:val="22"/>
          <w:szCs w:val="22"/>
        </w:rPr>
      </w:pPr>
      <w:r w:rsidRPr="0086255B">
        <w:rPr>
          <w:rFonts w:asciiTheme="minorHAnsi" w:hAnsiTheme="minorHAnsi" w:cstheme="minorHAnsi"/>
          <w:noProof/>
          <w:sz w:val="22"/>
          <w:szCs w:val="22"/>
        </w:rPr>
        <w:t>za projekte koji su započeli prije podnošenja zahtjeva za pomoć, dokažite da je projekt obuhvaćen jednim od iznimnih slučajeva iz tačke 31 CEEAG-a (podtačke (a), (b) ili (c)).</w:t>
      </w:r>
    </w:p>
    <w:p w14:paraId="24E710FD" w14:textId="77777777" w:rsidR="00211F70" w:rsidRPr="0086255B" w:rsidRDefault="00211F70" w:rsidP="00211F70">
      <w:pPr>
        <w:spacing w:before="120" w:after="120"/>
        <w:jc w:val="both"/>
        <w:rPr>
          <w:rFonts w:cstheme="minorHAnsi"/>
          <w:noProof/>
        </w:rPr>
      </w:pPr>
      <w:r w:rsidRPr="0086255B">
        <w:rPr>
          <w:rFonts w:cstheme="minorHAnsi"/>
          <w:noProof/>
        </w:rPr>
        <w:t>..................................................................................................................................................................</w:t>
      </w:r>
    </w:p>
    <w:p w14:paraId="4F838EF4" w14:textId="77777777" w:rsidR="00211F70" w:rsidRPr="0086255B" w:rsidRDefault="00211F70" w:rsidP="00211F70">
      <w:pPr>
        <w:pStyle w:val="NumPar1"/>
        <w:numPr>
          <w:ilvl w:val="0"/>
          <w:numId w:val="13"/>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biste usklađenost sa tačkom 30 CEEAG-a, ppotvrdite da zahtjev za pomoć sadrži najmanje ime podnosioca zahtjeva, opis projekta ili djelatnosti, uključujući njihovu lokaciju, i iznos pomoći potrebne za njihovo sprovođenje.</w:t>
      </w:r>
    </w:p>
    <w:p w14:paraId="051006B4" w14:textId="77777777" w:rsidR="00211F70" w:rsidRPr="0086255B" w:rsidRDefault="00211F70" w:rsidP="00211F70">
      <w:pPr>
        <w:spacing w:before="120" w:after="120"/>
        <w:jc w:val="both"/>
        <w:rPr>
          <w:rFonts w:cstheme="minorHAnsi"/>
        </w:rPr>
      </w:pPr>
      <w:r w:rsidRPr="0086255B">
        <w:rPr>
          <w:rFonts w:cstheme="minorHAnsi"/>
        </w:rPr>
        <w:t>.....................................................................................................................................................</w:t>
      </w:r>
      <w:r>
        <w:rPr>
          <w:rFonts w:cstheme="minorHAnsi"/>
        </w:rPr>
        <w:t>.............</w:t>
      </w:r>
    </w:p>
    <w:p w14:paraId="52DDD59F" w14:textId="77777777" w:rsidR="00211F70" w:rsidRPr="0086255B" w:rsidRDefault="00211F70" w:rsidP="00211F70">
      <w:pPr>
        <w:pStyle w:val="NumPar1"/>
        <w:numPr>
          <w:ilvl w:val="0"/>
          <w:numId w:val="13"/>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se dokazala usklađenost sa tačkom 32 CEEAG-a navedite postoje li norme Unije</w:t>
      </w:r>
      <w:r w:rsidRPr="0086255B">
        <w:rPr>
          <w:rStyle w:val="FootnoteReference"/>
          <w:rFonts w:asciiTheme="minorHAnsi" w:hAnsiTheme="minorHAnsi" w:cstheme="minorHAnsi"/>
          <w:noProof/>
          <w:sz w:val="22"/>
          <w:lang w:eastAsia="en-GB"/>
        </w:rPr>
        <w:footnoteReference w:id="3"/>
      </w:r>
      <w:r w:rsidRPr="0086255B">
        <w:rPr>
          <w:rFonts w:asciiTheme="minorHAnsi" w:hAnsiTheme="minorHAnsi" w:cstheme="minorHAnsi"/>
          <w:noProof/>
          <w:sz w:val="22"/>
        </w:rPr>
        <w:t xml:space="preserve"> primjenjive na prijavljene mjere, obavezne nacionalne norme koje su strože ili ambicioznije od odgovarajućih normi Unije ili obavezne nacionalne norme donesene u nedostatku normi Unije. U tom kontekstu, navedite informacije kojima se dokazuje podsticajni efekat.</w:t>
      </w:r>
    </w:p>
    <w:p w14:paraId="23591160" w14:textId="77777777" w:rsidR="00211F70" w:rsidRPr="0086255B" w:rsidRDefault="00211F70" w:rsidP="00211F70">
      <w:pPr>
        <w:spacing w:before="120" w:after="120"/>
        <w:jc w:val="both"/>
        <w:rPr>
          <w:rFonts w:cstheme="minorHAnsi"/>
        </w:rPr>
      </w:pPr>
      <w:r w:rsidRPr="0086255B">
        <w:rPr>
          <w:rFonts w:cstheme="minorHAnsi"/>
        </w:rPr>
        <w:t>.....................................................................................................................................................</w:t>
      </w:r>
      <w:r>
        <w:rPr>
          <w:rFonts w:cstheme="minorHAnsi"/>
        </w:rPr>
        <w:t>.............</w:t>
      </w:r>
    </w:p>
    <w:p w14:paraId="2AFC56D5" w14:textId="77777777" w:rsidR="00211F70" w:rsidRPr="0086255B" w:rsidRDefault="00211F70" w:rsidP="00211F70">
      <w:pPr>
        <w:pStyle w:val="NumPar1"/>
        <w:numPr>
          <w:ilvl w:val="0"/>
          <w:numId w:val="13"/>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Ako je odgovarajuća norma Unije već propisana, potvrdite i dokažite da pomoć ima podsticajni efekat jer podstiče ulaganje koje treba sprovesti i završiti najmanje 18 mjeseci prije nego što norma stupi na snagu.</w:t>
      </w:r>
    </w:p>
    <w:p w14:paraId="2D9C03BE" w14:textId="77777777" w:rsidR="00211F70" w:rsidRPr="0086255B" w:rsidRDefault="00211F70" w:rsidP="00211F70">
      <w:pPr>
        <w:spacing w:before="120" w:after="120"/>
        <w:jc w:val="both"/>
        <w:rPr>
          <w:rFonts w:cstheme="minorHAnsi"/>
        </w:rPr>
      </w:pPr>
      <w:r w:rsidRPr="0086255B">
        <w:rPr>
          <w:rFonts w:cstheme="minorHAnsi"/>
        </w:rPr>
        <w:t>.....................................................................................................................................................</w:t>
      </w:r>
      <w:r>
        <w:rPr>
          <w:rFonts w:cstheme="minorHAnsi"/>
        </w:rPr>
        <w:t>.............</w:t>
      </w:r>
    </w:p>
    <w:p w14:paraId="55486C1C" w14:textId="77777777" w:rsidR="00211F70" w:rsidRPr="0086255B" w:rsidRDefault="00211F70" w:rsidP="00211F70">
      <w:pPr>
        <w:pStyle w:val="Heading2"/>
        <w:keepLines w:val="0"/>
        <w:numPr>
          <w:ilvl w:val="1"/>
          <w:numId w:val="14"/>
        </w:numPr>
        <w:tabs>
          <w:tab w:val="clear" w:pos="850"/>
        </w:tabs>
        <w:spacing w:before="120" w:after="120"/>
        <w:ind w:left="360" w:hanging="360"/>
        <w:rPr>
          <w:rFonts w:asciiTheme="minorHAnsi" w:hAnsiTheme="minorHAnsi" w:cstheme="minorHAnsi"/>
          <w:noProof/>
          <w:color w:val="auto"/>
          <w:sz w:val="22"/>
          <w:szCs w:val="22"/>
        </w:rPr>
      </w:pPr>
      <w:r w:rsidRPr="0086255B">
        <w:rPr>
          <w:rFonts w:asciiTheme="minorHAnsi" w:hAnsiTheme="minorHAnsi" w:cstheme="minorHAnsi"/>
          <w:noProof/>
          <w:color w:val="auto"/>
          <w:sz w:val="22"/>
          <w:szCs w:val="22"/>
        </w:rPr>
        <w:lastRenderedPageBreak/>
        <w:t xml:space="preserve"> Nepostojanje povrede bilo koje odgovarajuće odredbe prava Unije</w:t>
      </w:r>
    </w:p>
    <w:p w14:paraId="56685114" w14:textId="77777777" w:rsidR="00211F70" w:rsidRPr="0086255B" w:rsidRDefault="00211F70" w:rsidP="00211F70">
      <w:pPr>
        <w:spacing w:before="120" w:after="120"/>
        <w:jc w:val="both"/>
        <w:rPr>
          <w:rFonts w:cstheme="minorHAnsi"/>
          <w:i/>
          <w:iCs/>
          <w:noProof/>
        </w:rPr>
      </w:pPr>
      <w:r w:rsidRPr="0086255B">
        <w:rPr>
          <w:rFonts w:cstheme="minorHAnsi"/>
          <w:i/>
          <w:noProof/>
        </w:rPr>
        <w:t xml:space="preserve">Za unos podataka u ovom odjeljku vidjeti odjeljak 3.1.3. (tačka 33) CEEAG-a. </w:t>
      </w:r>
    </w:p>
    <w:p w14:paraId="7AFB3D1C" w14:textId="77777777" w:rsidR="00211F70" w:rsidRPr="0086255B" w:rsidRDefault="00211F70" w:rsidP="00211F70">
      <w:pPr>
        <w:pStyle w:val="NumPar1"/>
        <w:numPr>
          <w:ilvl w:val="0"/>
          <w:numId w:val="13"/>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Dostavite podatke koji potvrđuju usklađenost sa odgovarajućim odredbama prava EU-a u skladu sa tačkom 33 CEEAG-a (vidjeti npr. pitanje 49 o usklađenosti sa Regulativom (EU) 2019/943).</w:t>
      </w:r>
    </w:p>
    <w:p w14:paraId="13645B01" w14:textId="77777777" w:rsidR="00211F70" w:rsidRPr="0086255B" w:rsidRDefault="00211F70" w:rsidP="00211F70">
      <w:pPr>
        <w:tabs>
          <w:tab w:val="left" w:leader="dot" w:pos="9072"/>
        </w:tabs>
        <w:spacing w:before="120" w:after="120"/>
        <w:jc w:val="both"/>
        <w:rPr>
          <w:rFonts w:cstheme="minorHAnsi"/>
          <w:noProof/>
        </w:rPr>
      </w:pPr>
      <w:r w:rsidRPr="0086255B">
        <w:rPr>
          <w:rFonts w:cstheme="minorHAnsi"/>
          <w:noProof/>
        </w:rPr>
        <w:tab/>
      </w:r>
    </w:p>
    <w:p w14:paraId="0C03E459" w14:textId="77777777" w:rsidR="00211F70" w:rsidRPr="0086255B" w:rsidRDefault="00211F70" w:rsidP="00211F70">
      <w:pPr>
        <w:pStyle w:val="NumPar1"/>
        <w:numPr>
          <w:ilvl w:val="0"/>
          <w:numId w:val="13"/>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Ako se mjera finansira iz nameta (vidjeti pitanje 54 u nastavku), objasnite:</w:t>
      </w:r>
    </w:p>
    <w:p w14:paraId="0C5BD98A" w14:textId="77777777" w:rsidR="00211F70" w:rsidRPr="0086255B" w:rsidRDefault="00211F70" w:rsidP="00211F70">
      <w:pPr>
        <w:tabs>
          <w:tab w:val="left" w:leader="dot" w:pos="9072"/>
        </w:tabs>
        <w:spacing w:before="120" w:after="120"/>
        <w:jc w:val="both"/>
        <w:rPr>
          <w:rFonts w:cstheme="minorHAnsi"/>
          <w:noProof/>
        </w:rPr>
      </w:pPr>
      <w:r w:rsidRPr="0086255B">
        <w:rPr>
          <w:rFonts w:cstheme="minorHAnsi"/>
          <w:noProof/>
        </w:rPr>
        <w:tab/>
      </w:r>
    </w:p>
    <w:p w14:paraId="3AB5473E" w14:textId="77777777" w:rsidR="00211F70" w:rsidRPr="0086255B" w:rsidRDefault="00211F70" w:rsidP="00211F70">
      <w:pPr>
        <w:pStyle w:val="ListParagraph"/>
        <w:numPr>
          <w:ilvl w:val="0"/>
          <w:numId w:val="4"/>
        </w:numPr>
        <w:spacing w:after="120"/>
        <w:rPr>
          <w:rFonts w:asciiTheme="minorHAnsi" w:hAnsiTheme="minorHAnsi" w:cstheme="minorHAnsi"/>
          <w:sz w:val="22"/>
          <w:szCs w:val="22"/>
        </w:rPr>
      </w:pPr>
      <w:r w:rsidRPr="0086255B">
        <w:rPr>
          <w:rFonts w:asciiTheme="minorHAnsi" w:hAnsiTheme="minorHAnsi" w:cstheme="minorHAnsi"/>
          <w:sz w:val="22"/>
          <w:szCs w:val="22"/>
        </w:rPr>
        <w:tab/>
        <w:t>da li se namet naplaćuje podjednako za domaće i uvezene proizvode;</w:t>
      </w:r>
    </w:p>
    <w:p w14:paraId="577AF3A2" w14:textId="77777777" w:rsidR="00211F70" w:rsidRPr="0086255B" w:rsidRDefault="00211F70" w:rsidP="00211F70">
      <w:pPr>
        <w:tabs>
          <w:tab w:val="left" w:leader="dot" w:pos="9072"/>
        </w:tabs>
        <w:spacing w:before="120" w:after="120"/>
        <w:jc w:val="both"/>
        <w:rPr>
          <w:rFonts w:cstheme="minorHAnsi"/>
          <w:noProof/>
        </w:rPr>
      </w:pPr>
      <w:r w:rsidRPr="0086255B">
        <w:rPr>
          <w:rFonts w:cstheme="minorHAnsi"/>
          <w:noProof/>
        </w:rPr>
        <w:tab/>
      </w:r>
    </w:p>
    <w:p w14:paraId="22E16D16" w14:textId="77777777" w:rsidR="00211F70" w:rsidRPr="0086255B" w:rsidRDefault="00211F70" w:rsidP="00211F70">
      <w:pPr>
        <w:pStyle w:val="ListParagraph"/>
        <w:numPr>
          <w:ilvl w:val="0"/>
          <w:numId w:val="4"/>
        </w:numPr>
        <w:spacing w:after="120"/>
        <w:rPr>
          <w:rFonts w:asciiTheme="minorHAnsi" w:hAnsiTheme="minorHAnsi" w:cstheme="minorHAnsi"/>
          <w:sz w:val="22"/>
          <w:szCs w:val="22"/>
        </w:rPr>
      </w:pPr>
      <w:r w:rsidRPr="0086255B">
        <w:rPr>
          <w:rFonts w:asciiTheme="minorHAnsi" w:hAnsiTheme="minorHAnsi" w:cstheme="minorHAnsi"/>
          <w:sz w:val="22"/>
          <w:szCs w:val="22"/>
        </w:rPr>
        <w:t>da li će prijavljena mjera koristiti podjednako domaćim i uvoznim proizvođačima.</w:t>
      </w:r>
    </w:p>
    <w:p w14:paraId="3D22B9A9" w14:textId="77777777" w:rsidR="00211F70" w:rsidRPr="0086255B" w:rsidRDefault="00211F70" w:rsidP="00211F70">
      <w:pPr>
        <w:tabs>
          <w:tab w:val="left" w:leader="dot" w:pos="9072"/>
        </w:tabs>
        <w:spacing w:before="120" w:after="120"/>
        <w:jc w:val="both"/>
        <w:rPr>
          <w:rFonts w:cstheme="minorHAnsi"/>
          <w:noProof/>
        </w:rPr>
      </w:pPr>
      <w:r w:rsidRPr="0086255B">
        <w:rPr>
          <w:rFonts w:cstheme="minorHAnsi"/>
          <w:noProof/>
        </w:rPr>
        <w:tab/>
      </w:r>
    </w:p>
    <w:p w14:paraId="78396BF9" w14:textId="77777777" w:rsidR="00211F70" w:rsidRPr="0086255B" w:rsidRDefault="00211F70" w:rsidP="00211F70">
      <w:pPr>
        <w:pStyle w:val="Heading1"/>
        <w:keepNext/>
        <w:numPr>
          <w:ilvl w:val="0"/>
          <w:numId w:val="14"/>
        </w:numPr>
        <w:tabs>
          <w:tab w:val="clear" w:pos="850"/>
        </w:tabs>
        <w:spacing w:before="120" w:after="120"/>
        <w:ind w:left="360" w:right="0" w:hanging="360"/>
        <w:jc w:val="both"/>
        <w:rPr>
          <w:rFonts w:asciiTheme="minorHAnsi" w:hAnsiTheme="minorHAnsi" w:cstheme="minorHAnsi"/>
          <w:noProof/>
          <w:sz w:val="22"/>
          <w:szCs w:val="22"/>
        </w:rPr>
      </w:pPr>
      <w:r w:rsidRPr="0086255B">
        <w:rPr>
          <w:rFonts w:asciiTheme="minorHAnsi" w:hAnsiTheme="minorHAnsi" w:cstheme="minorHAnsi"/>
          <w:noProof/>
          <w:sz w:val="22"/>
          <w:szCs w:val="22"/>
        </w:rPr>
        <w:t>Negativni uslov: pomoć ne smije neopravdano uticati na uslove konkurencije i trgovine u mjeri u kojoj bi to bilo suprotno zajedničkom interesu</w:t>
      </w:r>
    </w:p>
    <w:p w14:paraId="4DF018A8" w14:textId="77777777" w:rsidR="00211F70" w:rsidRPr="0086255B" w:rsidRDefault="00211F70" w:rsidP="00211F70">
      <w:pPr>
        <w:pStyle w:val="Heading2"/>
        <w:keepLines w:val="0"/>
        <w:numPr>
          <w:ilvl w:val="1"/>
          <w:numId w:val="14"/>
        </w:numPr>
        <w:tabs>
          <w:tab w:val="clear" w:pos="850"/>
        </w:tabs>
        <w:spacing w:before="120" w:after="120"/>
        <w:ind w:left="360" w:hanging="360"/>
        <w:rPr>
          <w:rFonts w:asciiTheme="minorHAnsi" w:hAnsiTheme="minorHAnsi" w:cstheme="minorHAnsi"/>
          <w:noProof/>
          <w:color w:val="auto"/>
          <w:sz w:val="22"/>
          <w:szCs w:val="22"/>
        </w:rPr>
      </w:pPr>
      <w:r w:rsidRPr="0086255B">
        <w:rPr>
          <w:rFonts w:asciiTheme="minorHAnsi" w:hAnsiTheme="minorHAnsi" w:cstheme="minorHAnsi"/>
          <w:noProof/>
          <w:color w:val="auto"/>
          <w:sz w:val="22"/>
          <w:szCs w:val="22"/>
        </w:rPr>
        <w:t xml:space="preserve"> Svođenje narušavanja konkurencije i trgovine na najmanju moguću mjeru </w:t>
      </w:r>
    </w:p>
    <w:p w14:paraId="0EEEBFC6" w14:textId="77777777" w:rsidR="00211F70" w:rsidRPr="0086255B" w:rsidRDefault="00211F70" w:rsidP="00211F70">
      <w:pPr>
        <w:pStyle w:val="Heading3"/>
        <w:keepLines w:val="0"/>
        <w:numPr>
          <w:ilvl w:val="2"/>
          <w:numId w:val="14"/>
        </w:numPr>
        <w:tabs>
          <w:tab w:val="clear" w:pos="850"/>
        </w:tabs>
        <w:spacing w:before="120" w:after="120"/>
        <w:ind w:left="360" w:hanging="360"/>
        <w:rPr>
          <w:rFonts w:asciiTheme="minorHAnsi" w:hAnsiTheme="minorHAnsi" w:cstheme="minorHAnsi"/>
          <w:i/>
          <w:noProof/>
          <w:color w:val="auto"/>
          <w:sz w:val="22"/>
          <w:szCs w:val="22"/>
        </w:rPr>
      </w:pPr>
      <w:r w:rsidRPr="0086255B">
        <w:rPr>
          <w:rFonts w:asciiTheme="minorHAnsi" w:hAnsiTheme="minorHAnsi" w:cstheme="minorHAnsi"/>
          <w:i/>
          <w:noProof/>
          <w:color w:val="auto"/>
          <w:sz w:val="22"/>
          <w:szCs w:val="22"/>
        </w:rPr>
        <w:t xml:space="preserve"> Neophodnost pomoći</w:t>
      </w:r>
    </w:p>
    <w:p w14:paraId="783FC121" w14:textId="77777777" w:rsidR="00211F70" w:rsidRPr="0086255B" w:rsidRDefault="00211F70" w:rsidP="00211F70">
      <w:pPr>
        <w:spacing w:before="120" w:after="120"/>
        <w:jc w:val="both"/>
        <w:rPr>
          <w:rFonts w:cstheme="minorHAnsi"/>
          <w:i/>
          <w:noProof/>
        </w:rPr>
      </w:pPr>
      <w:r w:rsidRPr="0086255B">
        <w:rPr>
          <w:rFonts w:cstheme="minorHAnsi"/>
          <w:i/>
          <w:noProof/>
        </w:rPr>
        <w:t xml:space="preserve">Za unos podataka u ovom odjeljku vidjeti odjeljak 4.8.4.1. (tačke od 331 do 339) CEEAG-a. </w:t>
      </w:r>
    </w:p>
    <w:p w14:paraId="40E103A7" w14:textId="77777777" w:rsidR="00211F70" w:rsidRPr="0086255B" w:rsidRDefault="00211F70" w:rsidP="00211F70">
      <w:pPr>
        <w:pStyle w:val="NumPar1"/>
        <w:numPr>
          <w:ilvl w:val="0"/>
          <w:numId w:val="13"/>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Tačka 331 CEEAG-a navodi da priroda i uzroci problema sigurnosti snabdijevanja električnom energijom, a samim tim i potreba za državnom pomoći za obezbjeđivanje sigurnosti snabdijevanja električnom energijom, moraju biti pravilno analizirani i kvantifikovani, uključujući kada i gdje se očekuje da će se problem pojaviti, prema potrebi s obzirom na standard pouzdanosti kako je definisano u članu 25 Regulative (EU) 2019/943. Dostavite analizu koja identifikuje i kvantifikuje problem sigurnosti snabdijevanja električnom energijom. U odgovoru navedite detalje u skladu sa razmatranjima navedenim u tačkama od 331 do 333 CEEAG-a.</w:t>
      </w:r>
    </w:p>
    <w:p w14:paraId="1355F077" w14:textId="77777777" w:rsidR="00211F70" w:rsidRPr="0086255B" w:rsidRDefault="00211F70" w:rsidP="00211F70">
      <w:pPr>
        <w:spacing w:before="120" w:after="120"/>
        <w:jc w:val="both"/>
        <w:rPr>
          <w:rFonts w:cstheme="minorHAnsi"/>
        </w:rPr>
      </w:pPr>
      <w:r w:rsidRPr="0086255B">
        <w:rPr>
          <w:rFonts w:cstheme="minorHAnsi"/>
        </w:rPr>
        <w:t>.....................................................................................................................................................</w:t>
      </w:r>
      <w:r>
        <w:rPr>
          <w:rFonts w:cstheme="minorHAnsi"/>
        </w:rPr>
        <w:t>.............</w:t>
      </w:r>
    </w:p>
    <w:p w14:paraId="62F6D40E" w14:textId="77777777" w:rsidR="00211F70" w:rsidRPr="0086255B" w:rsidRDefault="00211F70" w:rsidP="00211F70">
      <w:pPr>
        <w:pStyle w:val="NumPar1"/>
        <w:numPr>
          <w:ilvl w:val="0"/>
          <w:numId w:val="13"/>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U skladu sa tačkom 334 CEEAG-a i za mjere povezane sa rizikom od kriza u snabdijevanju električnom energijom, dostavite nacionalni plan pripremljenosti na rizike iz člana 11 Regulative (EU) 2019/941 u kojem bi trebalo utvrditi predloženu mjeru.</w:t>
      </w:r>
    </w:p>
    <w:p w14:paraId="3231FA39" w14:textId="77777777" w:rsidR="00211F70" w:rsidRPr="0086255B" w:rsidRDefault="00211F70" w:rsidP="00211F70">
      <w:pPr>
        <w:spacing w:before="120" w:after="120"/>
        <w:jc w:val="both"/>
        <w:rPr>
          <w:rFonts w:cstheme="minorHAnsi"/>
        </w:rPr>
      </w:pPr>
      <w:r w:rsidRPr="0086255B">
        <w:rPr>
          <w:rFonts w:cstheme="minorHAnsi"/>
        </w:rPr>
        <w:t>.....................................................................................................................................................</w:t>
      </w:r>
      <w:r>
        <w:rPr>
          <w:rFonts w:cstheme="minorHAnsi"/>
        </w:rPr>
        <w:t>.............</w:t>
      </w:r>
    </w:p>
    <w:p w14:paraId="42592E14" w14:textId="77777777" w:rsidR="00211F70" w:rsidRPr="0086255B" w:rsidRDefault="00211F70" w:rsidP="00211F70">
      <w:pPr>
        <w:pStyle w:val="NumPar1"/>
        <w:numPr>
          <w:ilvl w:val="0"/>
          <w:numId w:val="13"/>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U skladu sa tačkom 335 CEEAG-a i u slučaju predloga za uvođenje više mjera usmjerenih na sigurnost snabdijevanja električnom energijom, jasno objasnite kako one međusobno djeluju kako bi se obezbijedila ukupna isplativost kombinovanih mjera za sigurnost snabdijevanja, na primjer tako što će objasniti kako se mehanizmima za razvoj kapaciteta mreže (ali ne prelaze) standard pouzdanosti naveden u tački 331.</w:t>
      </w:r>
    </w:p>
    <w:p w14:paraId="72499924" w14:textId="77777777" w:rsidR="00211F70" w:rsidRPr="0086255B" w:rsidRDefault="00211F70" w:rsidP="00211F70">
      <w:pPr>
        <w:spacing w:before="120" w:after="120"/>
        <w:jc w:val="both"/>
        <w:rPr>
          <w:rFonts w:cstheme="minorHAnsi"/>
        </w:rPr>
      </w:pPr>
      <w:r w:rsidRPr="0086255B">
        <w:rPr>
          <w:rFonts w:cstheme="minorHAnsi"/>
        </w:rPr>
        <w:t>.....................................................................................................................................................</w:t>
      </w:r>
      <w:r>
        <w:rPr>
          <w:rFonts w:cstheme="minorHAnsi"/>
        </w:rPr>
        <w:t>.............</w:t>
      </w:r>
    </w:p>
    <w:p w14:paraId="0C84FF27" w14:textId="77777777" w:rsidR="00211F70" w:rsidRPr="0086255B" w:rsidRDefault="00211F70" w:rsidP="00211F70">
      <w:pPr>
        <w:pStyle w:val="NumPar1"/>
        <w:numPr>
          <w:ilvl w:val="0"/>
          <w:numId w:val="13"/>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U skladu sa tačkom 336 CEEAG-a, navedite regulatorne ili tržišne nedostatke, kao i sve ostale probleme koji sprječavaju postizanje odgovarajućeg nivoa sigurnosti snabdijevanja električnom energijom (i prema potrebi zaštite životne sredine) u slučaju odsustva intervencije.</w:t>
      </w:r>
    </w:p>
    <w:p w14:paraId="653D456C" w14:textId="77777777" w:rsidR="00211F70" w:rsidRPr="0086255B" w:rsidRDefault="00211F70" w:rsidP="00211F70">
      <w:pPr>
        <w:spacing w:before="120" w:after="120"/>
        <w:jc w:val="both"/>
        <w:rPr>
          <w:rFonts w:cstheme="minorHAnsi"/>
        </w:rPr>
      </w:pPr>
      <w:r w:rsidRPr="0086255B">
        <w:rPr>
          <w:rFonts w:cstheme="minorHAnsi"/>
        </w:rPr>
        <w:t>.....................................................................................................................................................</w:t>
      </w:r>
      <w:r>
        <w:rPr>
          <w:rFonts w:cstheme="minorHAnsi"/>
        </w:rPr>
        <w:t>.............</w:t>
      </w:r>
    </w:p>
    <w:p w14:paraId="7A9D1A4C" w14:textId="77777777" w:rsidR="00211F70" w:rsidRPr="0086255B" w:rsidRDefault="00211F70" w:rsidP="00211F70">
      <w:pPr>
        <w:pStyle w:val="NumPar1"/>
        <w:numPr>
          <w:ilvl w:val="0"/>
          <w:numId w:val="13"/>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U skladu sa tačkom 337 CEEAG-a, navedite postojeće mjere koje su već usmjerene na tržišne ili regulatorne nedostatke ili druge probleme navedene u tački 336. Ako je to primjereno, možete se pozvati na dokaze već pružene u odgovoru na pitanje 16 iznad.</w:t>
      </w:r>
    </w:p>
    <w:p w14:paraId="7806BC2F" w14:textId="77777777" w:rsidR="00211F70" w:rsidRPr="0086255B" w:rsidRDefault="00211F70" w:rsidP="00211F70">
      <w:pPr>
        <w:spacing w:before="120" w:after="120"/>
        <w:jc w:val="both"/>
        <w:rPr>
          <w:rFonts w:cstheme="minorHAnsi"/>
        </w:rPr>
      </w:pPr>
      <w:r w:rsidRPr="0086255B">
        <w:rPr>
          <w:rFonts w:cstheme="minorHAnsi"/>
        </w:rPr>
        <w:lastRenderedPageBreak/>
        <w:t>.....................................................................................................................................................</w:t>
      </w:r>
    </w:p>
    <w:p w14:paraId="356E4A8A" w14:textId="77777777" w:rsidR="00211F70" w:rsidRPr="0086255B" w:rsidRDefault="00211F70" w:rsidP="00211F70">
      <w:pPr>
        <w:pStyle w:val="NumPar1"/>
        <w:numPr>
          <w:ilvl w:val="0"/>
          <w:numId w:val="13"/>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U skladu sa tačkom 338 CEEAG-a, obrazložite razloge zbog kojih se ne može očekivati da tržište obezbijedi sigurnost snabdijevanja električnom energijom u odsustvu državne pomoći, uzimajući u obzir reforme i poboljšanja tržišta koja planira država članica, kao i tehnološki razvoj.</w:t>
      </w:r>
    </w:p>
    <w:p w14:paraId="632E6686" w14:textId="77777777" w:rsidR="00211F70" w:rsidRPr="0086255B" w:rsidRDefault="00211F70" w:rsidP="00211F70">
      <w:pPr>
        <w:spacing w:before="120" w:after="120"/>
        <w:jc w:val="both"/>
        <w:rPr>
          <w:rFonts w:cstheme="minorHAnsi"/>
        </w:rPr>
      </w:pPr>
      <w:r w:rsidRPr="0086255B">
        <w:rPr>
          <w:rFonts w:cstheme="minorHAnsi"/>
        </w:rPr>
        <w:t>.....................................................................................................................................................</w:t>
      </w:r>
    </w:p>
    <w:p w14:paraId="06200D15" w14:textId="77777777" w:rsidR="00211F70" w:rsidRPr="0086255B" w:rsidRDefault="00211F70" w:rsidP="00211F70">
      <w:pPr>
        <w:pStyle w:val="NumPar1"/>
        <w:numPr>
          <w:ilvl w:val="0"/>
          <w:numId w:val="13"/>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Dostavite sljedeće informacije navedene u tački 339 CEEAG-a: </w:t>
      </w:r>
    </w:p>
    <w:p w14:paraId="16A28F69" w14:textId="77777777" w:rsidR="00211F70" w:rsidRPr="0086255B" w:rsidRDefault="00211F70" w:rsidP="00211F70">
      <w:pPr>
        <w:pStyle w:val="NumPar1"/>
        <w:numPr>
          <w:ilvl w:val="0"/>
          <w:numId w:val="9"/>
        </w:numPr>
        <w:rPr>
          <w:rFonts w:asciiTheme="minorHAnsi" w:hAnsiTheme="minorHAnsi" w:cstheme="minorHAnsi"/>
          <w:noProof/>
          <w:sz w:val="22"/>
        </w:rPr>
      </w:pPr>
      <w:r w:rsidRPr="0086255B">
        <w:rPr>
          <w:rFonts w:asciiTheme="minorHAnsi" w:hAnsiTheme="minorHAnsi" w:cstheme="minorHAnsi"/>
          <w:noProof/>
          <w:sz w:val="22"/>
        </w:rPr>
        <w:t>procjenu uticaja promenljive proizvodnje, uključujući onu koja potiče iz susednih sistema;</w:t>
      </w:r>
    </w:p>
    <w:p w14:paraId="75646C22" w14:textId="77777777" w:rsidR="00211F70" w:rsidRPr="0086255B" w:rsidRDefault="00211F70" w:rsidP="00211F70">
      <w:pPr>
        <w:spacing w:before="120" w:after="120"/>
        <w:jc w:val="both"/>
        <w:rPr>
          <w:rFonts w:cstheme="minorHAnsi"/>
        </w:rPr>
      </w:pPr>
      <w:r w:rsidRPr="0086255B">
        <w:rPr>
          <w:rFonts w:cstheme="minorHAnsi"/>
        </w:rPr>
        <w:t>.....................................................................................................................................................</w:t>
      </w:r>
    </w:p>
    <w:p w14:paraId="28954F03" w14:textId="77777777" w:rsidR="00211F70" w:rsidRPr="0086255B" w:rsidRDefault="00211F70" w:rsidP="00211F70">
      <w:pPr>
        <w:pStyle w:val="NumPar1"/>
        <w:numPr>
          <w:ilvl w:val="0"/>
          <w:numId w:val="9"/>
        </w:numPr>
        <w:rPr>
          <w:rFonts w:asciiTheme="minorHAnsi" w:hAnsiTheme="minorHAnsi" w:cstheme="minorHAnsi"/>
          <w:noProof/>
          <w:sz w:val="22"/>
        </w:rPr>
      </w:pPr>
      <w:r w:rsidRPr="0086255B">
        <w:rPr>
          <w:rFonts w:asciiTheme="minorHAnsi" w:hAnsiTheme="minorHAnsi" w:cstheme="minorHAnsi"/>
          <w:noProof/>
          <w:sz w:val="22"/>
        </w:rPr>
        <w:t xml:space="preserve">procjenu uticaja učešća sa strane potrošnje i skladištenja, uključujući opis mjera za podsticanje upravljanja potrošnjom; </w:t>
      </w:r>
    </w:p>
    <w:p w14:paraId="0304E6E8" w14:textId="77777777" w:rsidR="00211F70" w:rsidRPr="0086255B" w:rsidRDefault="00211F70" w:rsidP="00211F70">
      <w:pPr>
        <w:spacing w:before="120" w:after="120"/>
        <w:jc w:val="both"/>
        <w:rPr>
          <w:rFonts w:cstheme="minorHAnsi"/>
        </w:rPr>
      </w:pPr>
      <w:r w:rsidRPr="0086255B">
        <w:rPr>
          <w:rFonts w:cstheme="minorHAnsi"/>
        </w:rPr>
        <w:t>.....................................................................................................................................................</w:t>
      </w:r>
    </w:p>
    <w:p w14:paraId="6E1B0A53" w14:textId="77777777" w:rsidR="00211F70" w:rsidRPr="0086255B" w:rsidRDefault="00211F70" w:rsidP="00211F70">
      <w:pPr>
        <w:pStyle w:val="NumPar1"/>
        <w:numPr>
          <w:ilvl w:val="0"/>
          <w:numId w:val="9"/>
        </w:numPr>
        <w:rPr>
          <w:rFonts w:asciiTheme="minorHAnsi" w:hAnsiTheme="minorHAnsi" w:cstheme="minorHAnsi"/>
          <w:noProof/>
          <w:sz w:val="22"/>
        </w:rPr>
      </w:pPr>
      <w:r w:rsidRPr="0086255B">
        <w:rPr>
          <w:rFonts w:asciiTheme="minorHAnsi" w:hAnsiTheme="minorHAnsi" w:cstheme="minorHAnsi"/>
          <w:noProof/>
          <w:sz w:val="22"/>
        </w:rPr>
        <w:t xml:space="preserve">procjenu stvarnog ili potencijalnog postojanja interkonekcija i značajne interne infrastrukture prenosa, uključujući opis projekata u izgradnji ili planiranih. </w:t>
      </w:r>
    </w:p>
    <w:p w14:paraId="1E680D44" w14:textId="77777777" w:rsidR="00211F70" w:rsidRPr="0086255B" w:rsidRDefault="00211F70" w:rsidP="00211F70">
      <w:pPr>
        <w:spacing w:before="120" w:after="120"/>
        <w:jc w:val="both"/>
        <w:rPr>
          <w:rFonts w:cstheme="minorHAnsi"/>
        </w:rPr>
      </w:pPr>
      <w:r w:rsidRPr="0086255B">
        <w:rPr>
          <w:rFonts w:cstheme="minorHAnsi"/>
        </w:rPr>
        <w:t>.....................................................................................................................................................</w:t>
      </w:r>
    </w:p>
    <w:p w14:paraId="18D19E88" w14:textId="77777777" w:rsidR="00211F70" w:rsidRPr="0086255B" w:rsidRDefault="00211F70" w:rsidP="00211F70">
      <w:pPr>
        <w:pStyle w:val="NumPar1"/>
        <w:numPr>
          <w:ilvl w:val="0"/>
          <w:numId w:val="9"/>
        </w:numPr>
        <w:rPr>
          <w:rFonts w:asciiTheme="minorHAnsi" w:hAnsiTheme="minorHAnsi" w:cstheme="minorHAnsi"/>
          <w:noProof/>
          <w:sz w:val="22"/>
        </w:rPr>
      </w:pPr>
      <w:r w:rsidRPr="0086255B">
        <w:rPr>
          <w:rFonts w:asciiTheme="minorHAnsi" w:hAnsiTheme="minorHAnsi" w:cstheme="minorHAnsi"/>
          <w:noProof/>
          <w:sz w:val="22"/>
        </w:rPr>
        <w:t>procjenu bilo kog drugog elementa koji bi mogao izazvati ili pogoršati problem sigurnosti snabdijevanja električnom energijom, kao što su gornje granice na veleprodajne cijene ili druge regulatorne ili tržišne nedostatke. Ako je primjenjivo, dostavite i uzmete u obzir plan implementacije mjera za otklanjanje bilo kakvih utvrđenih regulatornih poremećaja ili tržišnih nedostataka, kao i mišljenje Komisije o takvom planu implementacije u skladu sa članom 20 st. 3 i 5 i Regulative (EU) 2019/943.</w:t>
      </w:r>
    </w:p>
    <w:p w14:paraId="3CBB7D0E" w14:textId="77777777" w:rsidR="00211F70" w:rsidRPr="0086255B" w:rsidRDefault="00211F70" w:rsidP="00211F70">
      <w:pPr>
        <w:spacing w:before="120" w:after="120"/>
        <w:jc w:val="both"/>
        <w:rPr>
          <w:rFonts w:cstheme="minorHAnsi"/>
        </w:rPr>
      </w:pPr>
      <w:r w:rsidRPr="0086255B">
        <w:rPr>
          <w:rFonts w:cstheme="minorHAnsi"/>
        </w:rPr>
        <w:t>.....................................................................................................................................................</w:t>
      </w:r>
    </w:p>
    <w:p w14:paraId="7FB95E05" w14:textId="77777777" w:rsidR="00211F70" w:rsidRPr="0086255B" w:rsidRDefault="00211F70" w:rsidP="00211F70">
      <w:pPr>
        <w:pStyle w:val="ListParagraph"/>
        <w:numPr>
          <w:ilvl w:val="0"/>
          <w:numId w:val="9"/>
        </w:numPr>
        <w:spacing w:after="120"/>
        <w:rPr>
          <w:rFonts w:asciiTheme="minorHAnsi" w:hAnsiTheme="minorHAnsi" w:cstheme="minorHAnsi"/>
          <w:noProof/>
          <w:sz w:val="22"/>
          <w:szCs w:val="22"/>
        </w:rPr>
      </w:pPr>
      <w:r w:rsidRPr="0086255B">
        <w:rPr>
          <w:rFonts w:asciiTheme="minorHAnsi" w:hAnsiTheme="minorHAnsi" w:cstheme="minorHAnsi"/>
          <w:noProof/>
          <w:sz w:val="22"/>
          <w:szCs w:val="22"/>
        </w:rPr>
        <w:t>bilo koji relevantni sadržaj akcijskih planova u skladu sa članom 15 Regulative (EU) 2019/943.</w:t>
      </w:r>
    </w:p>
    <w:p w14:paraId="0558E127" w14:textId="77777777" w:rsidR="00211F70" w:rsidRPr="0086255B" w:rsidRDefault="00211F70" w:rsidP="00211F70">
      <w:pPr>
        <w:tabs>
          <w:tab w:val="left" w:leader="dot" w:pos="9072"/>
        </w:tabs>
        <w:spacing w:before="120" w:after="120"/>
        <w:jc w:val="both"/>
        <w:rPr>
          <w:rFonts w:cstheme="minorHAnsi"/>
          <w:noProof/>
        </w:rPr>
      </w:pPr>
      <w:r w:rsidRPr="0086255B">
        <w:rPr>
          <w:rFonts w:cstheme="minorHAnsi"/>
          <w:noProof/>
        </w:rPr>
        <w:tab/>
      </w:r>
    </w:p>
    <w:p w14:paraId="3DC2480B" w14:textId="77777777" w:rsidR="00211F70" w:rsidRPr="0086255B" w:rsidRDefault="00211F70" w:rsidP="00211F70">
      <w:pPr>
        <w:pStyle w:val="Heading3"/>
        <w:keepLines w:val="0"/>
        <w:numPr>
          <w:ilvl w:val="2"/>
          <w:numId w:val="14"/>
        </w:numPr>
        <w:tabs>
          <w:tab w:val="clear" w:pos="850"/>
        </w:tabs>
        <w:spacing w:before="120" w:after="120"/>
        <w:ind w:left="360" w:hanging="360"/>
        <w:rPr>
          <w:rFonts w:asciiTheme="minorHAnsi" w:hAnsiTheme="minorHAnsi" w:cstheme="minorHAnsi"/>
          <w:i/>
          <w:noProof/>
          <w:color w:val="auto"/>
          <w:sz w:val="22"/>
          <w:szCs w:val="22"/>
        </w:rPr>
      </w:pPr>
      <w:r w:rsidRPr="0086255B">
        <w:rPr>
          <w:rFonts w:asciiTheme="minorHAnsi" w:hAnsiTheme="minorHAnsi" w:cstheme="minorHAnsi"/>
          <w:i/>
          <w:noProof/>
          <w:color w:val="auto"/>
          <w:sz w:val="22"/>
          <w:szCs w:val="22"/>
        </w:rPr>
        <w:t xml:space="preserve"> Primjerenost</w:t>
      </w:r>
    </w:p>
    <w:p w14:paraId="6152B4A5" w14:textId="77777777" w:rsidR="00211F70" w:rsidRPr="0086255B" w:rsidRDefault="00211F70" w:rsidP="00211F70">
      <w:pPr>
        <w:spacing w:before="120" w:after="120"/>
        <w:jc w:val="both"/>
        <w:rPr>
          <w:rFonts w:cstheme="minorHAnsi"/>
          <w:i/>
          <w:noProof/>
        </w:rPr>
      </w:pPr>
      <w:r w:rsidRPr="0086255B">
        <w:rPr>
          <w:rFonts w:cstheme="minorHAnsi"/>
          <w:i/>
          <w:noProof/>
        </w:rPr>
        <w:t>Za unos podataka u ovom odjeljku vidjeti odjeljak 4.8.4.2. (tačke od 341 do 342) CEEAG-a.</w:t>
      </w:r>
    </w:p>
    <w:p w14:paraId="3CE9184D" w14:textId="77777777" w:rsidR="00211F70" w:rsidRPr="0086255B" w:rsidRDefault="00211F70" w:rsidP="00211F70">
      <w:pPr>
        <w:numPr>
          <w:ilvl w:val="0"/>
          <w:numId w:val="13"/>
        </w:numPr>
        <w:tabs>
          <w:tab w:val="clear" w:pos="850"/>
        </w:tabs>
        <w:spacing w:before="120" w:after="120" w:line="240" w:lineRule="auto"/>
        <w:ind w:left="360" w:hanging="360"/>
        <w:jc w:val="both"/>
        <w:rPr>
          <w:rFonts w:cstheme="minorHAnsi"/>
          <w:noProof/>
        </w:rPr>
      </w:pPr>
      <w:r w:rsidRPr="0086255B">
        <w:rPr>
          <w:rFonts w:cstheme="minorHAnsi"/>
          <w:noProof/>
        </w:rPr>
        <w:t>Kako bi se ocijenila usklađenost sa tačkom 341 CEEAG-a:</w:t>
      </w:r>
    </w:p>
    <w:p w14:paraId="55560D33" w14:textId="77777777" w:rsidR="00211F70" w:rsidRPr="0086255B" w:rsidRDefault="00211F70" w:rsidP="00211F70">
      <w:pPr>
        <w:pStyle w:val="ListParagraph"/>
        <w:numPr>
          <w:ilvl w:val="0"/>
          <w:numId w:val="5"/>
        </w:numPr>
        <w:spacing w:after="120"/>
        <w:rPr>
          <w:rFonts w:asciiTheme="minorHAnsi" w:hAnsiTheme="minorHAnsi" w:cstheme="minorHAnsi"/>
          <w:noProof/>
          <w:sz w:val="22"/>
          <w:szCs w:val="22"/>
        </w:rPr>
      </w:pPr>
      <w:r w:rsidRPr="0086255B">
        <w:rPr>
          <w:rFonts w:asciiTheme="minorHAnsi" w:hAnsiTheme="minorHAnsi" w:cstheme="minorHAnsi"/>
          <w:noProof/>
          <w:sz w:val="22"/>
          <w:szCs w:val="22"/>
        </w:rPr>
        <w:t>navedite koje su alternativne metode za postizanje sigurnosti snabdijevanja električnom energijom razmatrane, posebno dizajn efikasnijeg tržišta električne energije koji može ublažiti tržišne nedostatke koji narušavaju sigurnost snabdijevanja električnom energijom. U tom smislu, tačka 341 CEEAG-a navodi primjere poboljšanja dizajna tržišta električne energije (poboljšanje funkcionisanja balansiranja električne energije, bolje integrisanje promjenljive proizvodnje, podsticanje i integracija reakcije potrošnje i skladištenja, omogućavanje efikasnih cjenovnih signala, uklanjanje prepreka za prekograničnu trgovinu i poboljšanje infrastrukture, uključujući interkonekcije);</w:t>
      </w:r>
    </w:p>
    <w:p w14:paraId="61454574" w14:textId="77777777" w:rsidR="00211F70" w:rsidRPr="0086255B" w:rsidRDefault="00211F70" w:rsidP="00211F70">
      <w:pPr>
        <w:spacing w:before="120" w:after="120"/>
        <w:jc w:val="both"/>
        <w:rPr>
          <w:rFonts w:cstheme="minorHAnsi"/>
          <w:noProof/>
        </w:rPr>
      </w:pPr>
      <w:r w:rsidRPr="0086255B">
        <w:rPr>
          <w:rFonts w:cstheme="minorHAnsi"/>
          <w:noProof/>
        </w:rPr>
        <w:t>..................................................................................................................................................................</w:t>
      </w:r>
    </w:p>
    <w:p w14:paraId="39864A82" w14:textId="77777777" w:rsidR="00211F70" w:rsidRPr="0086255B" w:rsidRDefault="00211F70" w:rsidP="00211F70">
      <w:pPr>
        <w:pStyle w:val="ListParagraph"/>
        <w:numPr>
          <w:ilvl w:val="0"/>
          <w:numId w:val="5"/>
        </w:numPr>
        <w:spacing w:after="120"/>
        <w:rPr>
          <w:rFonts w:asciiTheme="minorHAnsi" w:hAnsiTheme="minorHAnsi" w:cstheme="minorHAnsi"/>
          <w:noProof/>
          <w:sz w:val="22"/>
          <w:szCs w:val="22"/>
        </w:rPr>
      </w:pPr>
      <w:r w:rsidRPr="0086255B">
        <w:rPr>
          <w:rFonts w:asciiTheme="minorHAnsi" w:hAnsiTheme="minorHAnsi" w:cstheme="minorHAnsi"/>
          <w:noProof/>
          <w:sz w:val="22"/>
          <w:szCs w:val="22"/>
        </w:rPr>
        <w:t>dokažite da, uprkos odgovarajućim i proporcionalnim poboljšanjima dizajna tržišta i ulaganja u imovinu mreže, bilo već implementiranim ili planiranim, i dalje postoji zabrinutost za sigurnost snabdevanja (tačka 341 CEEAG-a).</w:t>
      </w:r>
    </w:p>
    <w:p w14:paraId="6FE52F1F" w14:textId="77777777" w:rsidR="00211F70" w:rsidRPr="0086255B" w:rsidRDefault="00211F70" w:rsidP="00211F70">
      <w:pPr>
        <w:spacing w:before="120" w:after="120"/>
        <w:jc w:val="both"/>
        <w:rPr>
          <w:rFonts w:cstheme="minorHAnsi"/>
          <w:noProof/>
        </w:rPr>
      </w:pPr>
      <w:r w:rsidRPr="0086255B">
        <w:rPr>
          <w:rFonts w:cstheme="minorHAnsi"/>
          <w:noProof/>
        </w:rPr>
        <w:t>..................................................................................................................................................................</w:t>
      </w:r>
    </w:p>
    <w:p w14:paraId="464DA68E" w14:textId="77777777" w:rsidR="00211F70" w:rsidRPr="0086255B" w:rsidRDefault="00211F70" w:rsidP="00211F70">
      <w:pPr>
        <w:numPr>
          <w:ilvl w:val="0"/>
          <w:numId w:val="13"/>
        </w:numPr>
        <w:tabs>
          <w:tab w:val="clear" w:pos="850"/>
        </w:tabs>
        <w:spacing w:before="120" w:after="120" w:line="240" w:lineRule="auto"/>
        <w:ind w:left="360" w:hanging="360"/>
        <w:jc w:val="both"/>
        <w:rPr>
          <w:rFonts w:cstheme="minorHAnsi"/>
          <w:noProof/>
        </w:rPr>
      </w:pPr>
      <w:r w:rsidRPr="0086255B">
        <w:rPr>
          <w:rFonts w:cstheme="minorHAnsi"/>
          <w:noProof/>
        </w:rPr>
        <w:t>Za mjere protiv zagušenja mreže, dodatno objasnite kako se poboljšava efikasnost mjera redispečinga u skladu sa članom 13 Regulative (EU) 2019/943 (tačka 342 CEEAG-a).</w:t>
      </w:r>
    </w:p>
    <w:p w14:paraId="2BFB7DD0" w14:textId="77777777" w:rsidR="00211F70" w:rsidRPr="0086255B" w:rsidRDefault="00211F70" w:rsidP="00211F70">
      <w:pPr>
        <w:spacing w:before="120" w:after="120"/>
        <w:jc w:val="both"/>
        <w:rPr>
          <w:rFonts w:cstheme="minorHAnsi"/>
          <w:noProof/>
        </w:rPr>
      </w:pPr>
      <w:r w:rsidRPr="0086255B">
        <w:rPr>
          <w:rFonts w:cstheme="minorHAnsi"/>
          <w:noProof/>
        </w:rPr>
        <w:lastRenderedPageBreak/>
        <w:t>..................................................................................................................................................................</w:t>
      </w:r>
    </w:p>
    <w:p w14:paraId="6A166170" w14:textId="77777777" w:rsidR="00211F70" w:rsidRPr="0086255B" w:rsidRDefault="00211F70" w:rsidP="00211F70">
      <w:pPr>
        <w:pStyle w:val="Heading3"/>
        <w:keepLines w:val="0"/>
        <w:numPr>
          <w:ilvl w:val="2"/>
          <w:numId w:val="14"/>
        </w:numPr>
        <w:tabs>
          <w:tab w:val="clear" w:pos="850"/>
        </w:tabs>
        <w:spacing w:before="120" w:after="120"/>
        <w:ind w:left="360" w:hanging="360"/>
        <w:rPr>
          <w:rFonts w:asciiTheme="minorHAnsi" w:hAnsiTheme="minorHAnsi" w:cstheme="minorHAnsi"/>
          <w:i/>
          <w:noProof/>
          <w:color w:val="auto"/>
          <w:sz w:val="22"/>
          <w:szCs w:val="22"/>
        </w:rPr>
      </w:pPr>
      <w:r w:rsidRPr="0086255B">
        <w:rPr>
          <w:rFonts w:asciiTheme="minorHAnsi" w:hAnsiTheme="minorHAnsi" w:cstheme="minorHAnsi"/>
          <w:i/>
          <w:noProof/>
          <w:color w:val="auto"/>
          <w:sz w:val="22"/>
          <w:szCs w:val="22"/>
        </w:rPr>
        <w:t xml:space="preserve">Prihvatljivost </w:t>
      </w:r>
    </w:p>
    <w:p w14:paraId="77A4ED76" w14:textId="77777777" w:rsidR="00211F70" w:rsidRPr="0086255B" w:rsidRDefault="00211F70" w:rsidP="00211F70">
      <w:pPr>
        <w:spacing w:before="120" w:after="120"/>
        <w:jc w:val="both"/>
        <w:rPr>
          <w:rFonts w:cstheme="minorHAnsi"/>
        </w:rPr>
      </w:pPr>
      <w:r w:rsidRPr="0086255B">
        <w:rPr>
          <w:rFonts w:cstheme="minorHAnsi"/>
        </w:rPr>
        <w:t xml:space="preserve">Za </w:t>
      </w:r>
      <w:proofErr w:type="spellStart"/>
      <w:r w:rsidRPr="0086255B">
        <w:rPr>
          <w:rFonts w:cstheme="minorHAnsi"/>
        </w:rPr>
        <w:t>unos</w:t>
      </w:r>
      <w:proofErr w:type="spellEnd"/>
      <w:r w:rsidRPr="0086255B">
        <w:rPr>
          <w:rFonts w:cstheme="minorHAnsi"/>
        </w:rPr>
        <w:t xml:space="preserve"> </w:t>
      </w:r>
      <w:proofErr w:type="spellStart"/>
      <w:r w:rsidRPr="0086255B">
        <w:rPr>
          <w:rFonts w:cstheme="minorHAnsi"/>
        </w:rPr>
        <w:t>podataka</w:t>
      </w:r>
      <w:proofErr w:type="spellEnd"/>
      <w:r w:rsidRPr="0086255B">
        <w:rPr>
          <w:rFonts w:cstheme="minorHAnsi"/>
        </w:rPr>
        <w:t xml:space="preserve"> u </w:t>
      </w:r>
      <w:proofErr w:type="spellStart"/>
      <w:r w:rsidRPr="0086255B">
        <w:rPr>
          <w:rFonts w:cstheme="minorHAnsi"/>
        </w:rPr>
        <w:t>ovom</w:t>
      </w:r>
      <w:proofErr w:type="spellEnd"/>
      <w:r w:rsidRPr="0086255B">
        <w:rPr>
          <w:rFonts w:cstheme="minorHAnsi"/>
        </w:rPr>
        <w:t xml:space="preserve"> </w:t>
      </w:r>
      <w:proofErr w:type="spellStart"/>
      <w:r w:rsidRPr="0086255B">
        <w:rPr>
          <w:rFonts w:cstheme="minorHAnsi"/>
        </w:rPr>
        <w:t>odjeljku</w:t>
      </w:r>
      <w:proofErr w:type="spellEnd"/>
      <w:r w:rsidRPr="0086255B">
        <w:rPr>
          <w:rFonts w:cstheme="minorHAnsi"/>
        </w:rPr>
        <w:t xml:space="preserve"> </w:t>
      </w:r>
      <w:proofErr w:type="spellStart"/>
      <w:r w:rsidRPr="0086255B">
        <w:rPr>
          <w:rFonts w:cstheme="minorHAnsi"/>
        </w:rPr>
        <w:t>vidjeti</w:t>
      </w:r>
      <w:proofErr w:type="spellEnd"/>
      <w:r w:rsidRPr="0086255B">
        <w:rPr>
          <w:rFonts w:cstheme="minorHAnsi"/>
        </w:rPr>
        <w:t xml:space="preserve"> </w:t>
      </w:r>
      <w:proofErr w:type="spellStart"/>
      <w:r w:rsidRPr="0086255B">
        <w:rPr>
          <w:rFonts w:cstheme="minorHAnsi"/>
        </w:rPr>
        <w:t>odjeljak</w:t>
      </w:r>
      <w:proofErr w:type="spellEnd"/>
      <w:r w:rsidRPr="0086255B">
        <w:rPr>
          <w:rFonts w:cstheme="minorHAnsi"/>
        </w:rPr>
        <w:t xml:space="preserve"> 4.8.4.3. (</w:t>
      </w:r>
      <w:proofErr w:type="spellStart"/>
      <w:r w:rsidRPr="0086255B">
        <w:rPr>
          <w:rFonts w:cstheme="minorHAnsi"/>
        </w:rPr>
        <w:t>tačke</w:t>
      </w:r>
      <w:proofErr w:type="spellEnd"/>
      <w:r w:rsidRPr="0086255B">
        <w:rPr>
          <w:rFonts w:cstheme="minorHAnsi"/>
        </w:rPr>
        <w:t xml:space="preserve"> od 343 do 346) CEEAG-a.</w:t>
      </w:r>
    </w:p>
    <w:p w14:paraId="0D36B7AA" w14:textId="77777777" w:rsidR="00211F70" w:rsidRPr="0086255B" w:rsidRDefault="00211F70" w:rsidP="00211F70">
      <w:pPr>
        <w:numPr>
          <w:ilvl w:val="0"/>
          <w:numId w:val="13"/>
        </w:numPr>
        <w:tabs>
          <w:tab w:val="clear" w:pos="850"/>
        </w:tabs>
        <w:spacing w:before="120" w:after="120" w:line="240" w:lineRule="auto"/>
        <w:ind w:left="360" w:hanging="360"/>
        <w:jc w:val="both"/>
        <w:rPr>
          <w:rFonts w:cstheme="minorHAnsi"/>
          <w:noProof/>
        </w:rPr>
      </w:pPr>
      <w:r w:rsidRPr="0086255B">
        <w:rPr>
          <w:rFonts w:cstheme="minorHAnsi"/>
          <w:noProof/>
        </w:rPr>
        <w:t>Da biste pokazali usklađenost sa tačkom 343 CEEAG-a, potvrdite da će mjera biti otvorena za sve korisnike ili projekte koji su tehnički sposobni da efikasno doprinesu ostvarivanju cilja sigurnosti snabdijevanja (npr. proizvodnja, skladištenje, upravljanje potražnjom, agregacija malih jedinica u veće blokove).</w:t>
      </w:r>
    </w:p>
    <w:p w14:paraId="0730A889" w14:textId="77777777" w:rsidR="00211F70" w:rsidRPr="0086255B" w:rsidRDefault="00211F70" w:rsidP="00211F70">
      <w:pPr>
        <w:spacing w:before="120" w:after="120"/>
        <w:jc w:val="both"/>
        <w:rPr>
          <w:rFonts w:cstheme="minorHAnsi"/>
          <w:noProof/>
        </w:rPr>
      </w:pPr>
      <w:r w:rsidRPr="0086255B">
        <w:rPr>
          <w:rFonts w:cstheme="minorHAnsi"/>
          <w:noProof/>
        </w:rPr>
        <w:t>..................................................................................................................................................................</w:t>
      </w:r>
    </w:p>
    <w:p w14:paraId="70BE56F3" w14:textId="77777777" w:rsidR="00211F70" w:rsidRPr="0086255B" w:rsidRDefault="00211F70" w:rsidP="00211F70">
      <w:pPr>
        <w:numPr>
          <w:ilvl w:val="0"/>
          <w:numId w:val="13"/>
        </w:numPr>
        <w:tabs>
          <w:tab w:val="clear" w:pos="850"/>
        </w:tabs>
        <w:spacing w:before="120" w:after="120" w:line="240" w:lineRule="auto"/>
        <w:ind w:left="360" w:hanging="360"/>
        <w:jc w:val="both"/>
        <w:rPr>
          <w:rFonts w:cstheme="minorHAnsi"/>
          <w:noProof/>
        </w:rPr>
      </w:pPr>
      <w:r w:rsidRPr="0086255B">
        <w:rPr>
          <w:rFonts w:cstheme="minorHAnsi"/>
          <w:noProof/>
        </w:rPr>
        <w:t>U skladu sa tačkom 344 CEEAG-a, objasnite da li postoje ograničenja u učešću u predloženoj mjeri sigurnosti snabdijevanja koja imaju za cilj da se osigura da mjera ne narušava zaštitu životne sredine.</w:t>
      </w:r>
    </w:p>
    <w:p w14:paraId="511A978C" w14:textId="77777777" w:rsidR="00211F70" w:rsidRPr="0086255B" w:rsidRDefault="00211F70" w:rsidP="00211F70">
      <w:pPr>
        <w:spacing w:before="120" w:after="120"/>
        <w:jc w:val="both"/>
        <w:rPr>
          <w:rFonts w:cstheme="minorHAnsi"/>
          <w:noProof/>
        </w:rPr>
      </w:pPr>
      <w:r w:rsidRPr="0086255B">
        <w:rPr>
          <w:rFonts w:cstheme="minorHAnsi"/>
          <w:noProof/>
        </w:rPr>
        <w:t>..................................................................................................................................................................</w:t>
      </w:r>
    </w:p>
    <w:p w14:paraId="0434A5A9" w14:textId="77777777" w:rsidR="00211F70" w:rsidRPr="0086255B" w:rsidRDefault="00211F70" w:rsidP="00211F70">
      <w:pPr>
        <w:numPr>
          <w:ilvl w:val="0"/>
          <w:numId w:val="13"/>
        </w:numPr>
        <w:tabs>
          <w:tab w:val="clear" w:pos="850"/>
        </w:tabs>
        <w:spacing w:before="120" w:after="120" w:line="240" w:lineRule="auto"/>
        <w:ind w:left="360" w:hanging="360"/>
        <w:jc w:val="both"/>
        <w:rPr>
          <w:rFonts w:cstheme="minorHAnsi"/>
          <w:noProof/>
        </w:rPr>
      </w:pPr>
      <w:r w:rsidRPr="0086255B">
        <w:rPr>
          <w:rFonts w:cstheme="minorHAnsi"/>
          <w:noProof/>
        </w:rPr>
        <w:t>Ako prijavljena mjera za sigurnost snabdijevanja uključuje dodatne kriterijume ili karakteristike za podsticanje učešća zelenijih tehnologija (ili smanjenje učešća zagađujućih tehnologija) neophodne za podršku ostvarivanju ciljeva Unije u oblasti zaštite životne sredine, molimo pokažite da su takvi dodatni kriterijumi ili karakteristike objektivni, transparentni i nediskriminatorni u odnosu na jasno utvrđene ciljeve zaštite životne sredine i da neće dovesti do prekomjerne naknade korisnika (tačka 345 CEEAG-a).</w:t>
      </w:r>
    </w:p>
    <w:p w14:paraId="72C40907" w14:textId="77777777" w:rsidR="00211F70" w:rsidRPr="0086255B" w:rsidRDefault="00211F70" w:rsidP="00211F70">
      <w:pPr>
        <w:spacing w:before="120" w:after="120"/>
        <w:jc w:val="both"/>
        <w:rPr>
          <w:rFonts w:cstheme="minorHAnsi"/>
          <w:noProof/>
        </w:rPr>
      </w:pPr>
      <w:r w:rsidRPr="0086255B">
        <w:rPr>
          <w:rFonts w:cstheme="minorHAnsi"/>
          <w:noProof/>
        </w:rPr>
        <w:t>..................................................................................................................................................................</w:t>
      </w:r>
    </w:p>
    <w:p w14:paraId="659B3A11" w14:textId="77777777" w:rsidR="00211F70" w:rsidRPr="0086255B" w:rsidRDefault="00211F70" w:rsidP="00211F70">
      <w:pPr>
        <w:numPr>
          <w:ilvl w:val="0"/>
          <w:numId w:val="13"/>
        </w:numPr>
        <w:tabs>
          <w:tab w:val="clear" w:pos="850"/>
        </w:tabs>
        <w:spacing w:before="120" w:after="120" w:line="240" w:lineRule="auto"/>
        <w:ind w:left="360" w:hanging="360"/>
        <w:jc w:val="both"/>
        <w:rPr>
          <w:rFonts w:cstheme="minorHAnsi"/>
          <w:noProof/>
        </w:rPr>
      </w:pPr>
      <w:r w:rsidRPr="0086255B">
        <w:rPr>
          <w:rFonts w:cstheme="minorHAnsi"/>
          <w:noProof/>
        </w:rPr>
        <w:t>U skladu sa tačkom 346 CEEAG-a:</w:t>
      </w:r>
    </w:p>
    <w:p w14:paraId="0F0F8701" w14:textId="77777777" w:rsidR="00211F70" w:rsidRPr="0086255B" w:rsidRDefault="00211F70" w:rsidP="00211F70">
      <w:pPr>
        <w:pStyle w:val="ListParagraph"/>
        <w:numPr>
          <w:ilvl w:val="0"/>
          <w:numId w:val="6"/>
        </w:numPr>
        <w:spacing w:after="120"/>
        <w:rPr>
          <w:rFonts w:asciiTheme="minorHAnsi" w:hAnsiTheme="minorHAnsi" w:cstheme="minorHAnsi"/>
          <w:noProof/>
          <w:sz w:val="22"/>
          <w:szCs w:val="22"/>
        </w:rPr>
      </w:pPr>
      <w:r w:rsidRPr="0086255B">
        <w:rPr>
          <w:rFonts w:asciiTheme="minorHAnsi" w:hAnsiTheme="minorHAnsi" w:cstheme="minorHAnsi"/>
          <w:noProof/>
          <w:sz w:val="22"/>
          <w:szCs w:val="22"/>
        </w:rPr>
        <w:t>navedite da li će mjera za sigurnost snabdijevanja električnom energijom biti otvorena za direktno prekogranično učešće pružaoca kapaciteta koji se nalaze u drugoj državi članici. Ako neće, objasnite zašto;</w:t>
      </w:r>
    </w:p>
    <w:p w14:paraId="61BAE942" w14:textId="77777777" w:rsidR="00211F70" w:rsidRPr="0086255B" w:rsidRDefault="00211F70" w:rsidP="00211F70">
      <w:pPr>
        <w:spacing w:before="120" w:after="120"/>
        <w:jc w:val="both"/>
        <w:rPr>
          <w:rFonts w:cstheme="minorHAnsi"/>
          <w:noProof/>
        </w:rPr>
      </w:pPr>
      <w:r w:rsidRPr="0086255B">
        <w:rPr>
          <w:rFonts w:cstheme="minorHAnsi"/>
          <w:noProof/>
        </w:rPr>
        <w:t>..................................................................................................................................................................</w:t>
      </w:r>
    </w:p>
    <w:p w14:paraId="5A937625" w14:textId="77777777" w:rsidR="00211F70" w:rsidRPr="0086255B" w:rsidRDefault="00211F70" w:rsidP="00211F70">
      <w:pPr>
        <w:pStyle w:val="ListParagraph"/>
        <w:numPr>
          <w:ilvl w:val="0"/>
          <w:numId w:val="6"/>
        </w:numPr>
        <w:spacing w:after="120"/>
        <w:rPr>
          <w:rFonts w:asciiTheme="minorHAnsi" w:hAnsiTheme="minorHAnsi" w:cstheme="minorHAnsi"/>
          <w:noProof/>
          <w:sz w:val="22"/>
          <w:szCs w:val="22"/>
        </w:rPr>
      </w:pPr>
      <w:r w:rsidRPr="0086255B">
        <w:rPr>
          <w:rFonts w:asciiTheme="minorHAnsi" w:hAnsiTheme="minorHAnsi" w:cstheme="minorHAnsi"/>
          <w:noProof/>
          <w:sz w:val="22"/>
          <w:szCs w:val="22"/>
        </w:rPr>
        <w:t>dokažite da će strani kapaciteti koji može pružiti ekvivalentne tehničke performanse kao domaći kapaciteti imati priliku da učestvuju u istom konkurentskom procesu kao domaći kapaciteti;</w:t>
      </w:r>
    </w:p>
    <w:p w14:paraId="66285C3B" w14:textId="77777777" w:rsidR="00211F70" w:rsidRPr="0086255B" w:rsidRDefault="00211F70" w:rsidP="00211F70">
      <w:pPr>
        <w:spacing w:before="120" w:after="120"/>
        <w:jc w:val="both"/>
        <w:rPr>
          <w:rFonts w:cstheme="minorHAnsi"/>
          <w:noProof/>
        </w:rPr>
      </w:pPr>
      <w:r w:rsidRPr="0086255B">
        <w:rPr>
          <w:rFonts w:cstheme="minorHAnsi"/>
          <w:noProof/>
        </w:rPr>
        <w:t>..................................................................................................................................................................</w:t>
      </w:r>
    </w:p>
    <w:p w14:paraId="356727C3" w14:textId="77777777" w:rsidR="00211F70" w:rsidRPr="0086255B" w:rsidRDefault="00211F70" w:rsidP="00211F70">
      <w:pPr>
        <w:pStyle w:val="ListParagraph"/>
        <w:numPr>
          <w:ilvl w:val="0"/>
          <w:numId w:val="6"/>
        </w:numPr>
        <w:spacing w:after="120"/>
        <w:rPr>
          <w:rFonts w:asciiTheme="minorHAnsi" w:hAnsiTheme="minorHAnsi" w:cstheme="minorHAnsi"/>
          <w:noProof/>
          <w:sz w:val="22"/>
          <w:szCs w:val="22"/>
        </w:rPr>
      </w:pPr>
      <w:r w:rsidRPr="0086255B">
        <w:rPr>
          <w:rFonts w:asciiTheme="minorHAnsi" w:hAnsiTheme="minorHAnsi" w:cstheme="minorHAnsi"/>
          <w:noProof/>
          <w:sz w:val="22"/>
          <w:szCs w:val="22"/>
        </w:rPr>
        <w:t>ako je primjenjivo, dokažete usklađenost sa odgovarajućim pravilima iz člana 26 Regulative (EU) 2019/943 o prekograničnom učešću u mehanizmima za razvoj kapaciteta.</w:t>
      </w:r>
    </w:p>
    <w:p w14:paraId="516D45FF" w14:textId="77777777" w:rsidR="00211F70" w:rsidRPr="0086255B" w:rsidRDefault="00211F70" w:rsidP="00211F70">
      <w:pPr>
        <w:spacing w:before="120" w:after="120"/>
        <w:jc w:val="both"/>
        <w:rPr>
          <w:rFonts w:cstheme="minorHAnsi"/>
          <w:noProof/>
        </w:rPr>
      </w:pPr>
      <w:r w:rsidRPr="0086255B">
        <w:rPr>
          <w:rFonts w:cstheme="minorHAnsi"/>
          <w:noProof/>
        </w:rPr>
        <w:t>..................................................................................................................................................................</w:t>
      </w:r>
    </w:p>
    <w:p w14:paraId="68231F87" w14:textId="77777777" w:rsidR="00211F70" w:rsidRPr="0086255B" w:rsidRDefault="00211F70" w:rsidP="00211F70">
      <w:pPr>
        <w:pStyle w:val="Heading3"/>
        <w:keepLines w:val="0"/>
        <w:numPr>
          <w:ilvl w:val="2"/>
          <w:numId w:val="14"/>
        </w:numPr>
        <w:tabs>
          <w:tab w:val="clear" w:pos="850"/>
        </w:tabs>
        <w:spacing w:before="120" w:after="120"/>
        <w:ind w:left="360" w:hanging="360"/>
        <w:rPr>
          <w:rFonts w:asciiTheme="minorHAnsi" w:hAnsiTheme="minorHAnsi" w:cstheme="minorHAnsi"/>
          <w:i/>
          <w:noProof/>
          <w:color w:val="auto"/>
          <w:sz w:val="22"/>
          <w:szCs w:val="22"/>
        </w:rPr>
      </w:pPr>
      <w:r w:rsidRPr="0086255B">
        <w:rPr>
          <w:rFonts w:asciiTheme="minorHAnsi" w:hAnsiTheme="minorHAnsi" w:cstheme="minorHAnsi"/>
          <w:i/>
          <w:noProof/>
          <w:color w:val="auto"/>
          <w:sz w:val="22"/>
          <w:szCs w:val="22"/>
        </w:rPr>
        <w:t>Javna rasprava</w:t>
      </w:r>
    </w:p>
    <w:p w14:paraId="267D5A5B" w14:textId="77777777" w:rsidR="00211F70" w:rsidRPr="0086255B" w:rsidRDefault="00211F70" w:rsidP="00211F70">
      <w:pPr>
        <w:spacing w:before="120" w:after="120"/>
        <w:jc w:val="both"/>
        <w:rPr>
          <w:rFonts w:cstheme="minorHAnsi"/>
          <w:i/>
        </w:rPr>
      </w:pPr>
      <w:r w:rsidRPr="0086255B">
        <w:rPr>
          <w:rFonts w:cstheme="minorHAnsi"/>
          <w:i/>
        </w:rPr>
        <w:t xml:space="preserve">Za </w:t>
      </w:r>
      <w:proofErr w:type="spellStart"/>
      <w:r w:rsidRPr="0086255B">
        <w:rPr>
          <w:rFonts w:cstheme="minorHAnsi"/>
          <w:i/>
        </w:rPr>
        <w:t>unos</w:t>
      </w:r>
      <w:proofErr w:type="spellEnd"/>
      <w:r w:rsidRPr="0086255B">
        <w:rPr>
          <w:rFonts w:cstheme="minorHAnsi"/>
          <w:i/>
        </w:rPr>
        <w:t xml:space="preserve"> </w:t>
      </w:r>
      <w:proofErr w:type="spellStart"/>
      <w:r w:rsidRPr="0086255B">
        <w:rPr>
          <w:rFonts w:cstheme="minorHAnsi"/>
          <w:i/>
        </w:rPr>
        <w:t>podataka</w:t>
      </w:r>
      <w:proofErr w:type="spellEnd"/>
      <w:r w:rsidRPr="0086255B">
        <w:rPr>
          <w:rFonts w:cstheme="minorHAnsi"/>
          <w:i/>
        </w:rPr>
        <w:t xml:space="preserve"> u </w:t>
      </w:r>
      <w:proofErr w:type="spellStart"/>
      <w:r w:rsidRPr="0086255B">
        <w:rPr>
          <w:rFonts w:cstheme="minorHAnsi"/>
          <w:i/>
        </w:rPr>
        <w:t>ovom</w:t>
      </w:r>
      <w:proofErr w:type="spellEnd"/>
      <w:r w:rsidRPr="0086255B">
        <w:rPr>
          <w:rFonts w:cstheme="minorHAnsi"/>
          <w:i/>
        </w:rPr>
        <w:t xml:space="preserve"> </w:t>
      </w:r>
      <w:proofErr w:type="spellStart"/>
      <w:r w:rsidRPr="0086255B">
        <w:rPr>
          <w:rFonts w:cstheme="minorHAnsi"/>
          <w:i/>
        </w:rPr>
        <w:t>odjeljku</w:t>
      </w:r>
      <w:proofErr w:type="spellEnd"/>
      <w:r w:rsidRPr="0086255B">
        <w:rPr>
          <w:rFonts w:cstheme="minorHAnsi"/>
          <w:i/>
        </w:rPr>
        <w:t xml:space="preserve"> </w:t>
      </w:r>
      <w:proofErr w:type="spellStart"/>
      <w:r w:rsidRPr="0086255B">
        <w:rPr>
          <w:rFonts w:cstheme="minorHAnsi"/>
          <w:i/>
        </w:rPr>
        <w:t>vidjeti</w:t>
      </w:r>
      <w:proofErr w:type="spellEnd"/>
      <w:r w:rsidRPr="0086255B">
        <w:rPr>
          <w:rFonts w:cstheme="minorHAnsi"/>
          <w:i/>
        </w:rPr>
        <w:t xml:space="preserve"> </w:t>
      </w:r>
      <w:proofErr w:type="spellStart"/>
      <w:r w:rsidRPr="0086255B">
        <w:rPr>
          <w:rFonts w:cstheme="minorHAnsi"/>
          <w:i/>
        </w:rPr>
        <w:t>odjeljak</w:t>
      </w:r>
      <w:proofErr w:type="spellEnd"/>
      <w:r w:rsidRPr="0086255B">
        <w:rPr>
          <w:rFonts w:cstheme="minorHAnsi"/>
          <w:i/>
        </w:rPr>
        <w:t xml:space="preserve"> 4.8.4.4. (</w:t>
      </w:r>
      <w:proofErr w:type="spellStart"/>
      <w:r w:rsidRPr="0086255B">
        <w:rPr>
          <w:rFonts w:cstheme="minorHAnsi"/>
          <w:i/>
        </w:rPr>
        <w:t>tačke</w:t>
      </w:r>
      <w:proofErr w:type="spellEnd"/>
      <w:r w:rsidRPr="0086255B">
        <w:rPr>
          <w:rFonts w:cstheme="minorHAnsi"/>
          <w:i/>
        </w:rPr>
        <w:t xml:space="preserve"> od 348 do 351) CEEAG-a.</w:t>
      </w:r>
    </w:p>
    <w:p w14:paraId="32002682" w14:textId="77777777" w:rsidR="00211F70" w:rsidRPr="0086255B" w:rsidRDefault="00211F70" w:rsidP="00211F70">
      <w:pPr>
        <w:numPr>
          <w:ilvl w:val="0"/>
          <w:numId w:val="13"/>
        </w:numPr>
        <w:tabs>
          <w:tab w:val="clear" w:pos="850"/>
        </w:tabs>
        <w:spacing w:before="120" w:after="120" w:line="240" w:lineRule="auto"/>
        <w:ind w:left="360" w:hanging="360"/>
        <w:jc w:val="both"/>
        <w:rPr>
          <w:rFonts w:cstheme="minorHAnsi"/>
          <w:noProof/>
        </w:rPr>
      </w:pPr>
      <w:r w:rsidRPr="0086255B">
        <w:rPr>
          <w:rFonts w:cstheme="minorHAnsi"/>
          <w:noProof/>
        </w:rPr>
        <w:t>Objasnite da li mjera zahtijeva javnu raspravu prema Odjeljku 4.8.4.4, a ako ne, zašto ne.</w:t>
      </w:r>
    </w:p>
    <w:p w14:paraId="4AD20DB6" w14:textId="77777777" w:rsidR="00211F70" w:rsidRPr="0086255B" w:rsidRDefault="00211F70" w:rsidP="00211F70">
      <w:pPr>
        <w:spacing w:before="120" w:after="120"/>
        <w:jc w:val="both"/>
        <w:rPr>
          <w:rFonts w:cstheme="minorHAnsi"/>
          <w:noProof/>
        </w:rPr>
      </w:pPr>
      <w:r w:rsidRPr="0086255B">
        <w:rPr>
          <w:rFonts w:cstheme="minorHAnsi"/>
          <w:noProof/>
        </w:rPr>
        <w:t>..................................................................................................................................................................</w:t>
      </w:r>
    </w:p>
    <w:p w14:paraId="7764D9B4" w14:textId="77777777" w:rsidR="00211F70" w:rsidRPr="0086255B" w:rsidRDefault="00211F70" w:rsidP="00211F70">
      <w:pPr>
        <w:numPr>
          <w:ilvl w:val="0"/>
          <w:numId w:val="13"/>
        </w:numPr>
        <w:tabs>
          <w:tab w:val="clear" w:pos="850"/>
        </w:tabs>
        <w:spacing w:before="120" w:after="120" w:line="240" w:lineRule="auto"/>
        <w:ind w:left="360" w:hanging="360"/>
        <w:jc w:val="both"/>
        <w:rPr>
          <w:rFonts w:cstheme="minorHAnsi"/>
          <w:noProof/>
        </w:rPr>
      </w:pPr>
      <w:r w:rsidRPr="0086255B">
        <w:rPr>
          <w:rFonts w:cstheme="minorHAnsi"/>
          <w:noProof/>
        </w:rPr>
        <w:t>Ako mjera zahtijeva javnu raspravu:</w:t>
      </w:r>
    </w:p>
    <w:p w14:paraId="7300BF61" w14:textId="77777777" w:rsidR="00211F70" w:rsidRPr="0086255B" w:rsidRDefault="00211F70" w:rsidP="00211F70">
      <w:pPr>
        <w:pStyle w:val="ListParagraph"/>
        <w:numPr>
          <w:ilvl w:val="0"/>
          <w:numId w:val="7"/>
        </w:numPr>
        <w:spacing w:after="120"/>
        <w:rPr>
          <w:rFonts w:asciiTheme="minorHAnsi" w:hAnsiTheme="minorHAnsi" w:cstheme="minorHAnsi"/>
          <w:noProof/>
          <w:sz w:val="22"/>
          <w:szCs w:val="22"/>
        </w:rPr>
      </w:pPr>
      <w:r w:rsidRPr="0086255B">
        <w:rPr>
          <w:rFonts w:asciiTheme="minorHAnsi" w:hAnsiTheme="minorHAnsi" w:cstheme="minorHAnsi"/>
          <w:noProof/>
          <w:sz w:val="22"/>
          <w:szCs w:val="22"/>
        </w:rPr>
        <w:t>navedite trajanje javne rasprave i navedite rezime glavnih obrađenih pitanja.</w:t>
      </w:r>
    </w:p>
    <w:p w14:paraId="7EBAE924" w14:textId="77777777" w:rsidR="00211F70" w:rsidRPr="0086255B" w:rsidRDefault="00211F70" w:rsidP="00211F70">
      <w:pPr>
        <w:spacing w:before="120" w:after="120"/>
        <w:jc w:val="both"/>
        <w:rPr>
          <w:rFonts w:cstheme="minorHAnsi"/>
          <w:noProof/>
        </w:rPr>
      </w:pPr>
      <w:r w:rsidRPr="0086255B">
        <w:rPr>
          <w:rFonts w:cstheme="minorHAnsi"/>
          <w:noProof/>
        </w:rPr>
        <w:t>..................................................................................................................................................................</w:t>
      </w:r>
    </w:p>
    <w:p w14:paraId="638F027C" w14:textId="77777777" w:rsidR="00211F70" w:rsidRPr="0086255B" w:rsidRDefault="00211F70" w:rsidP="00211F70">
      <w:pPr>
        <w:pStyle w:val="ListParagraph"/>
        <w:numPr>
          <w:ilvl w:val="0"/>
          <w:numId w:val="7"/>
        </w:numPr>
        <w:spacing w:after="120"/>
        <w:rPr>
          <w:rFonts w:asciiTheme="minorHAnsi" w:hAnsiTheme="minorHAnsi" w:cstheme="minorHAnsi"/>
          <w:noProof/>
          <w:sz w:val="22"/>
          <w:szCs w:val="22"/>
        </w:rPr>
      </w:pPr>
      <w:r w:rsidRPr="0086255B">
        <w:rPr>
          <w:rFonts w:asciiTheme="minorHAnsi" w:hAnsiTheme="minorHAnsi" w:cstheme="minorHAnsi"/>
          <w:noProof/>
          <w:sz w:val="22"/>
          <w:szCs w:val="22"/>
        </w:rPr>
        <w:t>u skladu sa zahtjevima iz tačke 350 CEEAG-a, navedite adresu javnog veb-sajta gdje će obrasci za raspravu i rezime odgovora vlade biti objavljeni/jesu objavljeni.</w:t>
      </w:r>
    </w:p>
    <w:p w14:paraId="005F4B5B" w14:textId="77777777" w:rsidR="00211F70" w:rsidRPr="0086255B" w:rsidRDefault="00211F70" w:rsidP="00211F70">
      <w:pPr>
        <w:tabs>
          <w:tab w:val="left" w:leader="dot" w:pos="9072"/>
        </w:tabs>
        <w:spacing w:before="120" w:after="120"/>
        <w:jc w:val="both"/>
        <w:rPr>
          <w:rFonts w:cstheme="minorHAnsi"/>
          <w:noProof/>
        </w:rPr>
      </w:pPr>
      <w:r w:rsidRPr="0086255B">
        <w:rPr>
          <w:rFonts w:cstheme="minorHAnsi"/>
          <w:noProof/>
        </w:rPr>
        <w:lastRenderedPageBreak/>
        <w:tab/>
      </w:r>
    </w:p>
    <w:p w14:paraId="62DAA2A5" w14:textId="77777777" w:rsidR="00211F70" w:rsidRPr="0086255B" w:rsidRDefault="00211F70" w:rsidP="00211F70">
      <w:pPr>
        <w:pStyle w:val="Heading3"/>
        <w:keepLines w:val="0"/>
        <w:numPr>
          <w:ilvl w:val="2"/>
          <w:numId w:val="14"/>
        </w:numPr>
        <w:tabs>
          <w:tab w:val="clear" w:pos="850"/>
        </w:tabs>
        <w:spacing w:before="120" w:after="120"/>
        <w:ind w:left="360" w:hanging="360"/>
        <w:rPr>
          <w:rFonts w:asciiTheme="minorHAnsi" w:hAnsiTheme="minorHAnsi" w:cstheme="minorHAnsi"/>
          <w:i/>
          <w:noProof/>
          <w:color w:val="auto"/>
          <w:sz w:val="22"/>
          <w:szCs w:val="22"/>
        </w:rPr>
      </w:pPr>
      <w:r w:rsidRPr="0086255B">
        <w:rPr>
          <w:rFonts w:asciiTheme="minorHAnsi" w:hAnsiTheme="minorHAnsi" w:cstheme="minorHAnsi"/>
          <w:i/>
          <w:noProof/>
          <w:color w:val="auto"/>
          <w:sz w:val="22"/>
          <w:szCs w:val="22"/>
        </w:rPr>
        <w:t xml:space="preserve"> Proporcionalnost</w:t>
      </w:r>
    </w:p>
    <w:p w14:paraId="789E83CF" w14:textId="77777777" w:rsidR="00211F70" w:rsidRPr="0086255B" w:rsidRDefault="00211F70" w:rsidP="00211F70">
      <w:pPr>
        <w:spacing w:before="120" w:after="120"/>
        <w:jc w:val="both"/>
        <w:rPr>
          <w:rFonts w:cstheme="minorHAnsi"/>
          <w:i/>
          <w:noProof/>
        </w:rPr>
      </w:pPr>
      <w:r w:rsidRPr="0086255B">
        <w:rPr>
          <w:rFonts w:cstheme="minorHAnsi"/>
          <w:i/>
          <w:noProof/>
        </w:rPr>
        <w:t xml:space="preserve">Za unos podataka u ovom odjeljku vidjeti odjeljke 3.2.1.3. (tačke od 49 do 53 i tačka 55) i 4.8.4.5. (tačke od 353 do 357) CEEAG-a. Napominjemo da se </w:t>
      </w:r>
      <w:r w:rsidRPr="0086255B">
        <w:rPr>
          <w:rFonts w:cstheme="minorHAnsi"/>
          <w:i/>
          <w:noProof/>
          <w:u w:val="single"/>
        </w:rPr>
        <w:t>odjeljci 2.1.5.1. i 2.1.5.2. međusobno isključuju.</w:t>
      </w:r>
      <w:r w:rsidRPr="0086255B">
        <w:rPr>
          <w:rFonts w:cstheme="minorHAnsi"/>
          <w:i/>
          <w:noProof/>
        </w:rPr>
        <w:t xml:space="preserve"> Odgovorite samo na odgovarajući odjeljak, u zavisnosti od strukture predložene mjere.</w:t>
      </w:r>
    </w:p>
    <w:p w14:paraId="74338BB1" w14:textId="77777777" w:rsidR="00211F70" w:rsidRPr="0086255B" w:rsidRDefault="00211F70" w:rsidP="00211F70">
      <w:pPr>
        <w:pStyle w:val="Heading4"/>
        <w:keepLines w:val="0"/>
        <w:numPr>
          <w:ilvl w:val="3"/>
          <w:numId w:val="14"/>
        </w:numPr>
        <w:tabs>
          <w:tab w:val="clear" w:pos="850"/>
        </w:tabs>
        <w:spacing w:before="120" w:after="120"/>
        <w:ind w:left="360" w:hanging="360"/>
        <w:rPr>
          <w:rFonts w:asciiTheme="minorHAnsi" w:hAnsiTheme="minorHAnsi" w:cstheme="minorHAnsi"/>
          <w:noProof/>
          <w:color w:val="auto"/>
          <w:sz w:val="22"/>
          <w:szCs w:val="22"/>
        </w:rPr>
      </w:pPr>
      <w:r w:rsidRPr="0086255B">
        <w:rPr>
          <w:rFonts w:asciiTheme="minorHAnsi" w:hAnsiTheme="minorHAnsi" w:cstheme="minorHAnsi"/>
          <w:noProof/>
          <w:color w:val="auto"/>
          <w:sz w:val="22"/>
          <w:szCs w:val="22"/>
        </w:rPr>
        <w:t xml:space="preserve"> Proporcionalnost pomoći koja se dodjeljuje u okviru konkurentnog tenderskog postupka </w:t>
      </w:r>
    </w:p>
    <w:p w14:paraId="7882E9ED" w14:textId="77777777" w:rsidR="00211F70" w:rsidRPr="0086255B" w:rsidRDefault="00211F70" w:rsidP="00211F70">
      <w:pPr>
        <w:spacing w:before="120" w:after="120"/>
        <w:jc w:val="both"/>
        <w:rPr>
          <w:rFonts w:cstheme="minorHAnsi"/>
          <w:i/>
          <w:noProof/>
        </w:rPr>
      </w:pPr>
      <w:r w:rsidRPr="0086255B">
        <w:rPr>
          <w:rFonts w:cstheme="minorHAnsi"/>
          <w:i/>
          <w:noProof/>
        </w:rPr>
        <w:t>Za unos podataka u ovom odjeljku vidjeti odjeljak 3.2.1.3. (tačke 49, 50, 51, 52, 53 i 55) i tačke 353, 354 i 356 CEEAG-a.</w:t>
      </w:r>
    </w:p>
    <w:p w14:paraId="51552734" w14:textId="77777777" w:rsidR="00211F70" w:rsidRPr="0086255B" w:rsidRDefault="00211F70" w:rsidP="00211F70">
      <w:pPr>
        <w:spacing w:before="120" w:after="120"/>
        <w:jc w:val="both"/>
        <w:rPr>
          <w:rFonts w:cstheme="minorHAnsi"/>
          <w:i/>
          <w:noProof/>
        </w:rPr>
      </w:pPr>
      <w:r w:rsidRPr="0086255B">
        <w:rPr>
          <w:rFonts w:cstheme="minorHAnsi"/>
          <w:i/>
          <w:noProof/>
        </w:rPr>
        <w:t xml:space="preserve">Ovaj se odjeljak </w:t>
      </w:r>
      <w:r w:rsidRPr="0086255B">
        <w:rPr>
          <w:rFonts w:cstheme="minorHAnsi"/>
          <w:i/>
          <w:noProof/>
          <w:u w:val="single"/>
        </w:rPr>
        <w:t>ne primjenjuje</w:t>
      </w:r>
      <w:r w:rsidRPr="0086255B">
        <w:rPr>
          <w:rFonts w:cstheme="minorHAnsi"/>
          <w:i/>
          <w:noProof/>
        </w:rPr>
        <w:t xml:space="preserve"> na </w:t>
      </w:r>
      <w:r w:rsidRPr="0086255B">
        <w:rPr>
          <w:rFonts w:cstheme="minorHAnsi"/>
          <w:i/>
          <w:noProof/>
          <w:u w:val="single"/>
        </w:rPr>
        <w:t>pomoći dodijeljene bez konkurentnog tenderskog postupka.</w:t>
      </w:r>
      <w:r w:rsidRPr="0086255B">
        <w:rPr>
          <w:rFonts w:cstheme="minorHAnsi"/>
          <w:i/>
          <w:noProof/>
        </w:rPr>
        <w:t xml:space="preserve"> Za takve mjere idite direktno na odjeljak 2.1.5.2.</w:t>
      </w:r>
    </w:p>
    <w:p w14:paraId="4ACDC457" w14:textId="77777777" w:rsidR="00211F70" w:rsidRPr="0086255B" w:rsidRDefault="00211F70" w:rsidP="00211F70">
      <w:pPr>
        <w:pStyle w:val="NumPar1"/>
        <w:numPr>
          <w:ilvl w:val="0"/>
          <w:numId w:val="13"/>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biste ocenijenili usklađenost sa tačkom 353 CEEAG-a, i u slučaju da već nije dostavljeno kao odgovor na pitanje 16 iznad, dostavite analizu koja je korišćena za utvrđivanje nivoa potražnje u prijavljenoj mjeri za sigurnost snabdijevanja na osnovu standarda pouzdanosti ili analize troškova i koristi. Potvrdite da analiza koja je korišćena za utvrđivanje nivoa potražnje ne smije biti starija od 12 mjeseci u trenutku kada se nivo potražnje utvrđuje.</w:t>
      </w:r>
    </w:p>
    <w:p w14:paraId="52F21E43" w14:textId="77777777" w:rsidR="00211F70" w:rsidRPr="0086255B" w:rsidRDefault="00211F70" w:rsidP="00211F70">
      <w:pPr>
        <w:pStyle w:val="NumPar1"/>
        <w:numPr>
          <w:ilvl w:val="0"/>
          <w:numId w:val="13"/>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U skladu sa tačkom 354 CEEAG-a, dokažite da vremenski period između odobrenja pomoći i roka do kojeg projekti moraju biti realizovani omogućava efikasnu konkurenciju između različitih podobnih projekata.</w:t>
      </w:r>
    </w:p>
    <w:p w14:paraId="2D7FD652" w14:textId="77777777" w:rsidR="00211F70" w:rsidRPr="0086255B" w:rsidRDefault="00211F70" w:rsidP="00211F70">
      <w:pPr>
        <w:spacing w:before="120" w:after="120"/>
        <w:jc w:val="both"/>
        <w:rPr>
          <w:rFonts w:cstheme="minorHAnsi"/>
        </w:rPr>
      </w:pPr>
      <w:r w:rsidRPr="0086255B">
        <w:rPr>
          <w:rFonts w:cstheme="minorHAnsi"/>
        </w:rPr>
        <w:t>.....................................................................................................................................................</w:t>
      </w:r>
      <w:r>
        <w:rPr>
          <w:rFonts w:cstheme="minorHAnsi"/>
        </w:rPr>
        <w:t>.............</w:t>
      </w:r>
    </w:p>
    <w:p w14:paraId="1C4DC36F" w14:textId="77777777" w:rsidR="00211F70" w:rsidRPr="0086255B" w:rsidRDefault="00211F70" w:rsidP="00211F70">
      <w:pPr>
        <w:pStyle w:val="NumPar1"/>
        <w:numPr>
          <w:ilvl w:val="0"/>
          <w:numId w:val="13"/>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U skladu sa tačkom 356 CEEAG-a, dokažite da korisnici mjera za sigurnost snabdijevanja imaju efikasne podsticaje da doprinesu sigurnosti snabdijevanja tokom perioda isporuke. Ovi podsticaji bi generalno trebali biti povezani sa vrijednošću neisporučene energije (VoLL) kako je utvrđeno u skladu sa članom 11 Regulative (EU) 2019/943.</w:t>
      </w:r>
    </w:p>
    <w:p w14:paraId="6E4F4347" w14:textId="77777777" w:rsidR="00211F70" w:rsidRPr="0086255B" w:rsidRDefault="00211F70" w:rsidP="00211F70">
      <w:pPr>
        <w:spacing w:before="120" w:after="120"/>
        <w:jc w:val="both"/>
        <w:rPr>
          <w:rFonts w:cstheme="minorHAnsi"/>
        </w:rPr>
      </w:pPr>
      <w:r w:rsidRPr="0086255B">
        <w:rPr>
          <w:rFonts w:cstheme="minorHAnsi"/>
        </w:rPr>
        <w:t>.....................................................................................................................................................</w:t>
      </w:r>
      <w:r>
        <w:rPr>
          <w:rFonts w:cstheme="minorHAnsi"/>
        </w:rPr>
        <w:t>.............</w:t>
      </w:r>
    </w:p>
    <w:p w14:paraId="71D4DF58" w14:textId="77777777" w:rsidR="00211F70" w:rsidRPr="0086255B" w:rsidRDefault="00211F70" w:rsidP="00211F70">
      <w:pPr>
        <w:pStyle w:val="NumPar1"/>
        <w:numPr>
          <w:ilvl w:val="0"/>
          <w:numId w:val="13"/>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se potvrdila usklađenost sa tačkama 49 i 50 CEEAG-a:</w:t>
      </w:r>
    </w:p>
    <w:p w14:paraId="0E892A2F" w14:textId="77777777" w:rsidR="00211F70" w:rsidRPr="0086255B" w:rsidRDefault="00211F70" w:rsidP="00211F70">
      <w:pPr>
        <w:pStyle w:val="Point1letter"/>
        <w:numPr>
          <w:ilvl w:val="3"/>
          <w:numId w:val="16"/>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 xml:space="preserve">objasnite kako nadležni organi obezbjeđuju da je tenderski postupak otvoren, jasan, transparentan i nediskriminatoran i da se zasniva na objektivnim kriterijima definisanima </w:t>
      </w:r>
      <w:r w:rsidRPr="0086255B">
        <w:rPr>
          <w:rFonts w:asciiTheme="minorHAnsi" w:hAnsiTheme="minorHAnsi" w:cstheme="minorHAnsi"/>
          <w:i/>
          <w:noProof/>
          <w:sz w:val="22"/>
        </w:rPr>
        <w:t>ex ante</w:t>
      </w:r>
      <w:r w:rsidRPr="0086255B">
        <w:rPr>
          <w:rFonts w:asciiTheme="minorHAnsi" w:hAnsiTheme="minorHAnsi" w:cstheme="minorHAnsi"/>
          <w:noProof/>
          <w:sz w:val="22"/>
        </w:rPr>
        <w:t xml:space="preserve"> u skladu sa ciljem mjere i svođenjem rizika strateškog licitiranja na najmanju moguću mjeru (tačka 49 podtačka (a) CEEAG-a). </w:t>
      </w:r>
    </w:p>
    <w:p w14:paraId="3F240040" w14:textId="77777777" w:rsidR="00211F70" w:rsidRPr="0086255B" w:rsidRDefault="00211F70" w:rsidP="00211F70">
      <w:pPr>
        <w:tabs>
          <w:tab w:val="left" w:leader="dot" w:pos="9072"/>
        </w:tabs>
        <w:spacing w:before="120" w:after="120"/>
        <w:jc w:val="both"/>
        <w:rPr>
          <w:rFonts w:cstheme="minorHAnsi"/>
          <w:noProof/>
        </w:rPr>
      </w:pPr>
      <w:r w:rsidRPr="0086255B">
        <w:rPr>
          <w:rFonts w:cstheme="minorHAnsi"/>
          <w:noProof/>
        </w:rPr>
        <w:tab/>
      </w:r>
    </w:p>
    <w:p w14:paraId="632A7369" w14:textId="77777777" w:rsidR="00211F70" w:rsidRPr="0086255B" w:rsidRDefault="00211F70" w:rsidP="00211F70">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navedite kriterijume za izbor koji se upotrebljavaju za rangiranje ponuda i na kraju utvrđivanje iznosa pomoći u konkurentnom tenderskom postupku</w:t>
      </w:r>
      <w:r w:rsidRPr="0086255B">
        <w:rPr>
          <w:rFonts w:asciiTheme="minorHAnsi" w:hAnsiTheme="minorHAnsi" w:cstheme="minorHAnsi"/>
          <w:noProof/>
          <w:sz w:val="22"/>
          <w:shd w:val="clear" w:color="auto" w:fill="FFFFFF"/>
        </w:rPr>
        <w:t xml:space="preserve">. </w:t>
      </w:r>
      <w:r w:rsidRPr="0086255B">
        <w:rPr>
          <w:rFonts w:asciiTheme="minorHAnsi" w:hAnsiTheme="minorHAnsi" w:cstheme="minorHAnsi"/>
          <w:noProof/>
          <w:sz w:val="22"/>
        </w:rPr>
        <w:t xml:space="preserve">Konkretnije: </w:t>
      </w:r>
    </w:p>
    <w:p w14:paraId="6E9A6D04" w14:textId="77777777" w:rsidR="00211F70" w:rsidRPr="0086255B" w:rsidRDefault="00211F70" w:rsidP="00211F70">
      <w:pPr>
        <w:pStyle w:val="Point0letter"/>
        <w:numPr>
          <w:ilvl w:val="0"/>
          <w:numId w:val="17"/>
        </w:numPr>
        <w:ind w:hanging="360"/>
        <w:rPr>
          <w:rFonts w:asciiTheme="minorHAnsi" w:hAnsiTheme="minorHAnsi" w:cstheme="minorHAnsi"/>
          <w:noProof/>
          <w:sz w:val="22"/>
        </w:rPr>
      </w:pPr>
      <w:r w:rsidRPr="0086255B">
        <w:rPr>
          <w:rFonts w:asciiTheme="minorHAnsi" w:hAnsiTheme="minorHAnsi" w:cstheme="minorHAnsi"/>
          <w:noProof/>
          <w:sz w:val="22"/>
        </w:rPr>
        <w:t>navedite popis kriterijuma za izbor i naznačite koji od njih su direktno ili indirektno povezani sa glavnim ciljevima mjera. Navedite njihove pondere;</w:t>
      </w:r>
    </w:p>
    <w:p w14:paraId="3555258B" w14:textId="77777777" w:rsidR="00211F70" w:rsidRPr="0086255B" w:rsidRDefault="00211F70" w:rsidP="00211F70">
      <w:pPr>
        <w:tabs>
          <w:tab w:val="left" w:leader="dot" w:pos="9072"/>
        </w:tabs>
        <w:spacing w:before="120" w:after="120"/>
        <w:jc w:val="both"/>
        <w:rPr>
          <w:rFonts w:cstheme="minorHAnsi"/>
          <w:noProof/>
        </w:rPr>
      </w:pPr>
      <w:r w:rsidRPr="0086255B">
        <w:rPr>
          <w:rFonts w:cstheme="minorHAnsi"/>
          <w:noProof/>
        </w:rPr>
        <w:tab/>
      </w:r>
    </w:p>
    <w:p w14:paraId="1E8E1F56" w14:textId="77777777" w:rsidR="00211F70" w:rsidRPr="0086255B" w:rsidRDefault="00211F70" w:rsidP="00211F70">
      <w:pPr>
        <w:pStyle w:val="Stylei"/>
        <w:numPr>
          <w:ilvl w:val="0"/>
          <w:numId w:val="17"/>
        </w:numPr>
        <w:ind w:hanging="360"/>
        <w:rPr>
          <w:rFonts w:asciiTheme="minorHAnsi" w:hAnsiTheme="minorHAnsi" w:cstheme="minorHAnsi"/>
          <w:noProof/>
          <w:sz w:val="22"/>
        </w:rPr>
      </w:pPr>
      <w:r w:rsidRPr="0086255B">
        <w:rPr>
          <w:rFonts w:asciiTheme="minorHAnsi" w:hAnsiTheme="minorHAnsi" w:cstheme="minorHAnsi"/>
          <w:noProof/>
          <w:sz w:val="22"/>
        </w:rPr>
        <w:t>objasnite kako je prema kriterijumima za izbor doprinos glavnim ciljevima mjere direktno ili indirektno povezan sa iznosom pomoći koji je zatražio podnosilac zahtjeva. To se može izraziti, na primjer, u obliku pomoći po jedinici zaštite životne sredine ili pomoć po jedinici energije (tačka 50 i fusnota 44 CEEAG-a);</w:t>
      </w:r>
    </w:p>
    <w:p w14:paraId="4D54F7EA" w14:textId="77777777" w:rsidR="00211F70" w:rsidRPr="0086255B" w:rsidRDefault="00211F70" w:rsidP="00211F70">
      <w:pPr>
        <w:tabs>
          <w:tab w:val="left" w:leader="dot" w:pos="9072"/>
        </w:tabs>
        <w:spacing w:before="120" w:after="120"/>
        <w:jc w:val="both"/>
        <w:rPr>
          <w:rFonts w:cstheme="minorHAnsi"/>
          <w:noProof/>
        </w:rPr>
      </w:pPr>
      <w:r w:rsidRPr="0086255B">
        <w:rPr>
          <w:rFonts w:cstheme="minorHAnsi"/>
          <w:noProof/>
        </w:rPr>
        <w:tab/>
      </w:r>
    </w:p>
    <w:p w14:paraId="4FB7A566" w14:textId="77777777" w:rsidR="00211F70" w:rsidRPr="0086255B" w:rsidRDefault="00211F70" w:rsidP="00211F70">
      <w:pPr>
        <w:pStyle w:val="Stylei"/>
        <w:numPr>
          <w:ilvl w:val="0"/>
          <w:numId w:val="17"/>
        </w:numPr>
        <w:ind w:hanging="360"/>
        <w:rPr>
          <w:rFonts w:asciiTheme="minorHAnsi" w:hAnsiTheme="minorHAnsi" w:cstheme="minorHAnsi"/>
          <w:noProof/>
          <w:sz w:val="22"/>
        </w:rPr>
      </w:pPr>
      <w:r w:rsidRPr="0086255B">
        <w:rPr>
          <w:rFonts w:asciiTheme="minorHAnsi" w:hAnsiTheme="minorHAnsi" w:cstheme="minorHAnsi"/>
          <w:noProof/>
          <w:sz w:val="22"/>
        </w:rPr>
        <w:t xml:space="preserve">ako postoje drugi kriterijumi za izbor koji nisu direktno ili indirektno povezani sa glavnim ciljevima mjera, navedite obrazloženje za predloženi pristup i objasnite kako je on </w:t>
      </w:r>
      <w:r w:rsidRPr="0086255B">
        <w:rPr>
          <w:rFonts w:asciiTheme="minorHAnsi" w:hAnsiTheme="minorHAnsi" w:cstheme="minorHAnsi"/>
          <w:noProof/>
          <w:sz w:val="22"/>
        </w:rPr>
        <w:lastRenderedPageBreak/>
        <w:t>primjerenim tim ciljevima. Potvrdite i da ovi kriterijumi ne predstavljaju više od 30 % pondera svih kriterijuma za izbor (tačka 50 CEEAG-a);</w:t>
      </w:r>
    </w:p>
    <w:p w14:paraId="53510847" w14:textId="77777777" w:rsidR="00211F70" w:rsidRPr="0086255B" w:rsidRDefault="00211F70" w:rsidP="00211F70">
      <w:pPr>
        <w:tabs>
          <w:tab w:val="left" w:leader="dot" w:pos="9072"/>
        </w:tabs>
        <w:spacing w:before="120" w:after="120"/>
        <w:jc w:val="both"/>
        <w:rPr>
          <w:rFonts w:cstheme="minorHAnsi"/>
          <w:noProof/>
        </w:rPr>
      </w:pPr>
      <w:r w:rsidRPr="0086255B">
        <w:rPr>
          <w:rFonts w:cstheme="minorHAnsi"/>
          <w:noProof/>
        </w:rPr>
        <w:tab/>
      </w:r>
    </w:p>
    <w:p w14:paraId="66B77DE8" w14:textId="77777777" w:rsidR="00211F70" w:rsidRPr="0086255B" w:rsidRDefault="00211F70" w:rsidP="00211F70">
      <w:pPr>
        <w:pStyle w:val="Stylei"/>
        <w:numPr>
          <w:ilvl w:val="0"/>
          <w:numId w:val="17"/>
        </w:numPr>
        <w:ind w:hanging="360"/>
        <w:rPr>
          <w:rFonts w:asciiTheme="minorHAnsi" w:hAnsiTheme="minorHAnsi" w:cstheme="minorHAnsi"/>
          <w:noProof/>
          <w:sz w:val="22"/>
        </w:rPr>
      </w:pPr>
      <w:r w:rsidRPr="0086255B">
        <w:rPr>
          <w:rFonts w:asciiTheme="minorHAnsi" w:hAnsiTheme="minorHAnsi" w:cstheme="minorHAnsi"/>
          <w:noProof/>
          <w:sz w:val="22"/>
        </w:rPr>
        <w:t>objasnite koliko će se vremena prije roka za podnošenje zahtjeva u svakom konkurentnom tenderskom postupku</w:t>
      </w:r>
      <w:r w:rsidRPr="0086255B">
        <w:rPr>
          <w:rFonts w:asciiTheme="minorHAnsi" w:hAnsiTheme="minorHAnsi" w:cstheme="minorHAnsi"/>
          <w:noProof/>
          <w:sz w:val="22"/>
          <w:shd w:val="clear" w:color="auto" w:fill="FFFFFF"/>
        </w:rPr>
        <w:t xml:space="preserve"> objaviti kriterijumi za izbor</w:t>
      </w:r>
      <w:r w:rsidRPr="0086255B">
        <w:rPr>
          <w:rFonts w:asciiTheme="minorHAnsi" w:hAnsiTheme="minorHAnsi" w:cstheme="minorHAnsi"/>
          <w:noProof/>
          <w:sz w:val="22"/>
        </w:rPr>
        <w:t xml:space="preserve"> (tačka 49 podtačka (b) i fusnota 43 CEEAG-a);</w:t>
      </w:r>
    </w:p>
    <w:p w14:paraId="28661FA0" w14:textId="77777777" w:rsidR="00211F70" w:rsidRPr="0086255B" w:rsidRDefault="00211F70" w:rsidP="00211F70">
      <w:pPr>
        <w:tabs>
          <w:tab w:val="left" w:leader="dot" w:pos="9072"/>
        </w:tabs>
        <w:spacing w:before="120" w:after="120"/>
        <w:jc w:val="both"/>
        <w:rPr>
          <w:rFonts w:cstheme="minorHAnsi"/>
          <w:noProof/>
        </w:rPr>
      </w:pPr>
      <w:r w:rsidRPr="0086255B">
        <w:rPr>
          <w:rFonts w:cstheme="minorHAnsi"/>
          <w:noProof/>
        </w:rPr>
        <w:tab/>
      </w:r>
    </w:p>
    <w:p w14:paraId="70D7F7A4" w14:textId="77777777" w:rsidR="00211F70" w:rsidRPr="0086255B" w:rsidRDefault="00211F70" w:rsidP="00211F70">
      <w:pPr>
        <w:pStyle w:val="Stylei"/>
        <w:numPr>
          <w:ilvl w:val="0"/>
          <w:numId w:val="18"/>
        </w:numPr>
        <w:ind w:left="720"/>
        <w:rPr>
          <w:rFonts w:asciiTheme="minorHAnsi" w:hAnsiTheme="minorHAnsi" w:cstheme="minorHAnsi"/>
          <w:noProof/>
          <w:sz w:val="22"/>
        </w:rPr>
      </w:pPr>
      <w:r w:rsidRPr="0086255B">
        <w:rPr>
          <w:rFonts w:asciiTheme="minorHAnsi" w:hAnsiTheme="minorHAnsi" w:cstheme="minorHAnsi"/>
          <w:noProof/>
          <w:sz w:val="22"/>
          <w:shd w:val="clear" w:color="auto" w:fill="FFFFFF"/>
        </w:rPr>
        <w:tab/>
      </w:r>
      <w:r w:rsidRPr="0086255B">
        <w:rPr>
          <w:rFonts w:asciiTheme="minorHAnsi" w:hAnsiTheme="minorHAnsi" w:cstheme="minorHAnsi"/>
          <w:noProof/>
          <w:sz w:val="22"/>
        </w:rPr>
        <w:t>potvrdite da su budžet ili količina povezani za postupkom nadmetanja obavezujuće ograničenje u smislu da se može očekivati da neće svi ponuđači dobiti pomoć (tačka 49 podtačka (c) CEEAG-a).</w:t>
      </w:r>
    </w:p>
    <w:p w14:paraId="28444976" w14:textId="77777777" w:rsidR="00211F70" w:rsidRPr="0086255B" w:rsidRDefault="00211F70" w:rsidP="00211F70">
      <w:pPr>
        <w:tabs>
          <w:tab w:val="left" w:leader="dot" w:pos="9072"/>
        </w:tabs>
        <w:spacing w:before="120" w:after="120"/>
        <w:jc w:val="both"/>
        <w:rPr>
          <w:rFonts w:cstheme="minorHAnsi"/>
          <w:noProof/>
        </w:rPr>
      </w:pPr>
      <w:r w:rsidRPr="0086255B">
        <w:rPr>
          <w:rFonts w:cstheme="minorHAnsi"/>
          <w:noProof/>
        </w:rPr>
        <w:tab/>
      </w:r>
    </w:p>
    <w:p w14:paraId="5EC30982" w14:textId="77777777" w:rsidR="00211F70" w:rsidRPr="0086255B" w:rsidRDefault="00211F70" w:rsidP="00211F70">
      <w:pPr>
        <w:pStyle w:val="Point1letter"/>
        <w:numPr>
          <w:ilvl w:val="0"/>
          <w:numId w:val="18"/>
        </w:numPr>
        <w:ind w:left="720"/>
        <w:rPr>
          <w:rFonts w:asciiTheme="minorHAnsi" w:hAnsiTheme="minorHAnsi" w:cstheme="minorHAnsi"/>
          <w:noProof/>
          <w:sz w:val="22"/>
          <w:shd w:val="clear" w:color="auto" w:fill="FFFFFF"/>
        </w:rPr>
      </w:pPr>
      <w:r w:rsidRPr="0086255B">
        <w:rPr>
          <w:rFonts w:asciiTheme="minorHAnsi" w:hAnsiTheme="minorHAnsi" w:cstheme="minorHAnsi"/>
          <w:noProof/>
          <w:sz w:val="22"/>
          <w:shd w:val="clear" w:color="auto" w:fill="FFFFFF"/>
        </w:rPr>
        <w:t xml:space="preserve">navedite koji je predviđeni broj krugova tendera i očekivani broj ponuđača u prvom krugu i nakon toga; </w:t>
      </w:r>
    </w:p>
    <w:p w14:paraId="7B50B1AA" w14:textId="77777777" w:rsidR="00211F70" w:rsidRPr="0086255B" w:rsidRDefault="00211F70" w:rsidP="00211F70">
      <w:pPr>
        <w:tabs>
          <w:tab w:val="left" w:leader="dot" w:pos="9072"/>
        </w:tabs>
        <w:spacing w:before="120" w:after="120"/>
        <w:jc w:val="both"/>
        <w:rPr>
          <w:rFonts w:cstheme="minorHAnsi"/>
          <w:noProof/>
        </w:rPr>
      </w:pPr>
      <w:r w:rsidRPr="0086255B">
        <w:rPr>
          <w:rFonts w:cstheme="minorHAnsi"/>
          <w:noProof/>
        </w:rPr>
        <w:tab/>
      </w:r>
    </w:p>
    <w:p w14:paraId="61BCC71C" w14:textId="77777777" w:rsidR="00211F70" w:rsidRPr="0086255B" w:rsidRDefault="00211F70" w:rsidP="00211F70">
      <w:pPr>
        <w:pStyle w:val="Point1letter"/>
        <w:numPr>
          <w:ilvl w:val="0"/>
          <w:numId w:val="18"/>
        </w:numPr>
        <w:ind w:left="720"/>
        <w:rPr>
          <w:rFonts w:asciiTheme="minorHAnsi" w:hAnsiTheme="minorHAnsi" w:cstheme="minorHAnsi"/>
          <w:noProof/>
          <w:sz w:val="22"/>
        </w:rPr>
      </w:pPr>
      <w:r w:rsidRPr="0086255B">
        <w:rPr>
          <w:rFonts w:asciiTheme="minorHAnsi" w:hAnsiTheme="minorHAnsi" w:cstheme="minorHAnsi"/>
          <w:noProof/>
          <w:sz w:val="22"/>
        </w:rPr>
        <w:t>u slučaju jednog ili više tenderskih postupaka sa nedovoljnim učešćem,</w:t>
      </w:r>
      <w:r w:rsidRPr="0086255B">
        <w:rPr>
          <w:rFonts w:asciiTheme="minorHAnsi" w:hAnsiTheme="minorHAnsi" w:cstheme="minorHAnsi"/>
          <w:noProof/>
          <w:sz w:val="22"/>
          <w:shd w:val="clear" w:color="auto" w:fill="FFFFFF"/>
        </w:rPr>
        <w:t xml:space="preserve"> objasnite kako će se </w:t>
      </w:r>
      <w:r w:rsidRPr="0086255B">
        <w:rPr>
          <w:rFonts w:asciiTheme="minorHAnsi" w:hAnsiTheme="minorHAnsi" w:cstheme="minorHAnsi"/>
          <w:noProof/>
          <w:sz w:val="22"/>
        </w:rPr>
        <w:t>struktura tenderskog postupka prilagoditi</w:t>
      </w:r>
      <w:r w:rsidRPr="0086255B">
        <w:rPr>
          <w:rFonts w:asciiTheme="minorHAnsi" w:hAnsiTheme="minorHAnsi" w:cstheme="minorHAnsi"/>
          <w:noProof/>
          <w:sz w:val="22"/>
          <w:shd w:val="clear" w:color="auto" w:fill="FFFFFF"/>
        </w:rPr>
        <w:t xml:space="preserve"> dok je predmetna šema na snazi</w:t>
      </w:r>
      <w:r w:rsidRPr="0086255B">
        <w:rPr>
          <w:rFonts w:asciiTheme="minorHAnsi" w:hAnsiTheme="minorHAnsi" w:cstheme="minorHAnsi"/>
          <w:noProof/>
          <w:sz w:val="22"/>
        </w:rPr>
        <w:t xml:space="preserve">, kako bi se </w:t>
      </w:r>
      <w:r w:rsidRPr="0086255B">
        <w:rPr>
          <w:rFonts w:asciiTheme="minorHAnsi" w:hAnsiTheme="minorHAnsi" w:cstheme="minorHAnsi"/>
          <w:noProof/>
          <w:sz w:val="22"/>
          <w:shd w:val="clear" w:color="auto" w:fill="FFFFFF"/>
        </w:rPr>
        <w:t xml:space="preserve">ponovo uspostavila efikasna konkurencija i kada </w:t>
      </w:r>
      <w:r w:rsidRPr="0086255B">
        <w:rPr>
          <w:rFonts w:asciiTheme="minorHAnsi" w:hAnsiTheme="minorHAnsi" w:cstheme="minorHAnsi"/>
          <w:noProof/>
          <w:sz w:val="22"/>
        </w:rPr>
        <w:t>(tačka 49 podtačka (c) CEEAG-a)</w:t>
      </w:r>
      <w:r w:rsidRPr="0086255B">
        <w:rPr>
          <w:rFonts w:asciiTheme="minorHAnsi" w:hAnsiTheme="minorHAnsi" w:cstheme="minorHAnsi"/>
          <w:noProof/>
          <w:sz w:val="22"/>
          <w:shd w:val="clear" w:color="auto" w:fill="FFFFFF"/>
        </w:rPr>
        <w:t>;</w:t>
      </w:r>
    </w:p>
    <w:p w14:paraId="222F5CDC" w14:textId="77777777" w:rsidR="00211F70" w:rsidRPr="0086255B" w:rsidRDefault="00211F70" w:rsidP="00211F70">
      <w:pPr>
        <w:tabs>
          <w:tab w:val="left" w:leader="dot" w:pos="9072"/>
        </w:tabs>
        <w:spacing w:before="120" w:after="120"/>
        <w:jc w:val="both"/>
        <w:rPr>
          <w:rFonts w:cstheme="minorHAnsi"/>
          <w:noProof/>
        </w:rPr>
      </w:pPr>
      <w:r w:rsidRPr="0086255B">
        <w:rPr>
          <w:rFonts w:cstheme="minorHAnsi"/>
          <w:noProof/>
        </w:rPr>
        <w:tab/>
      </w:r>
    </w:p>
    <w:p w14:paraId="0E0A15AD" w14:textId="77777777" w:rsidR="00211F70" w:rsidRPr="0086255B" w:rsidRDefault="00211F70" w:rsidP="00211F70">
      <w:pPr>
        <w:pStyle w:val="Point1letter"/>
        <w:numPr>
          <w:ilvl w:val="0"/>
          <w:numId w:val="18"/>
        </w:numPr>
        <w:ind w:left="720"/>
        <w:rPr>
          <w:rFonts w:asciiTheme="minorHAnsi" w:hAnsiTheme="minorHAnsi" w:cstheme="minorHAnsi"/>
          <w:noProof/>
          <w:sz w:val="22"/>
        </w:rPr>
      </w:pPr>
      <w:r w:rsidRPr="0086255B">
        <w:rPr>
          <w:rStyle w:val="oj-italic"/>
          <w:rFonts w:asciiTheme="minorHAnsi" w:hAnsiTheme="minorHAnsi" w:cstheme="minorHAnsi"/>
          <w:noProof/>
          <w:sz w:val="22"/>
          <w:shd w:val="clear" w:color="auto" w:fill="FFFFFF"/>
        </w:rPr>
        <w:t xml:space="preserve">potvrdite da nisu dozvoljena </w:t>
      </w:r>
      <w:r w:rsidRPr="0086255B">
        <w:rPr>
          <w:rStyle w:val="oj-italic"/>
          <w:rFonts w:asciiTheme="minorHAnsi" w:hAnsiTheme="minorHAnsi" w:cstheme="minorHAnsi"/>
          <w:i/>
          <w:noProof/>
          <w:sz w:val="22"/>
          <w:shd w:val="clear" w:color="auto" w:fill="FFFFFF"/>
        </w:rPr>
        <w:t>ex post</w:t>
      </w:r>
      <w:r w:rsidRPr="0086255B">
        <w:rPr>
          <w:rFonts w:asciiTheme="minorHAnsi" w:hAnsiTheme="minorHAnsi" w:cstheme="minorHAnsi"/>
          <w:noProof/>
          <w:sz w:val="22"/>
          <w:shd w:val="clear" w:color="auto" w:fill="FFFFFF"/>
        </w:rPr>
        <w:t xml:space="preserve"> prilagođavanja rezultata tenderskog postupka (kao što su naknadni pregovori o rezultatima ponuda ili uvođenje kvota) </w:t>
      </w:r>
      <w:r w:rsidRPr="0086255B">
        <w:rPr>
          <w:rFonts w:asciiTheme="minorHAnsi" w:hAnsiTheme="minorHAnsi" w:cstheme="minorHAnsi"/>
          <w:noProof/>
          <w:sz w:val="22"/>
        </w:rPr>
        <w:t>(tačka 49 podtačka (d) CEEAG-a)</w:t>
      </w:r>
      <w:r w:rsidRPr="0086255B">
        <w:rPr>
          <w:rFonts w:asciiTheme="minorHAnsi" w:hAnsiTheme="minorHAnsi" w:cstheme="minorHAnsi"/>
          <w:noProof/>
          <w:sz w:val="22"/>
          <w:shd w:val="clear" w:color="auto" w:fill="FFFFFF"/>
        </w:rPr>
        <w:t>;</w:t>
      </w:r>
    </w:p>
    <w:p w14:paraId="33EE58B4" w14:textId="77777777" w:rsidR="00211F70" w:rsidRPr="0086255B" w:rsidRDefault="00211F70" w:rsidP="00211F70">
      <w:pPr>
        <w:tabs>
          <w:tab w:val="left" w:leader="dot" w:pos="9072"/>
        </w:tabs>
        <w:spacing w:before="120" w:after="120"/>
        <w:jc w:val="both"/>
        <w:rPr>
          <w:rFonts w:cstheme="minorHAnsi"/>
          <w:noProof/>
        </w:rPr>
      </w:pPr>
      <w:r w:rsidRPr="0086255B">
        <w:rPr>
          <w:rFonts w:cstheme="minorHAnsi"/>
          <w:noProof/>
        </w:rPr>
        <w:tab/>
      </w:r>
    </w:p>
    <w:p w14:paraId="59CDB679" w14:textId="77777777" w:rsidR="00211F70" w:rsidRPr="0086255B" w:rsidRDefault="00211F70" w:rsidP="00211F70">
      <w:pPr>
        <w:pStyle w:val="Point1letter"/>
        <w:numPr>
          <w:ilvl w:val="0"/>
          <w:numId w:val="18"/>
        </w:numPr>
        <w:ind w:left="720"/>
        <w:rPr>
          <w:rFonts w:asciiTheme="minorHAnsi" w:hAnsiTheme="minorHAnsi" w:cstheme="minorHAnsi"/>
          <w:noProof/>
          <w:sz w:val="22"/>
        </w:rPr>
      </w:pPr>
      <w:r w:rsidRPr="0086255B">
        <w:rPr>
          <w:rStyle w:val="oj-italic"/>
          <w:rFonts w:asciiTheme="minorHAnsi" w:hAnsiTheme="minorHAnsi" w:cstheme="minorHAnsi"/>
          <w:noProof/>
          <w:sz w:val="22"/>
          <w:shd w:val="clear" w:color="auto" w:fill="FFFFFF"/>
        </w:rPr>
        <w:t>ako</w:t>
      </w:r>
      <w:r w:rsidRPr="0086255B">
        <w:rPr>
          <w:rFonts w:asciiTheme="minorHAnsi" w:hAnsiTheme="minorHAnsi" w:cstheme="minorHAnsi"/>
          <w:noProof/>
          <w:sz w:val="22"/>
        </w:rPr>
        <w:t xml:space="preserve"> postoji mogućnost „ponuda sa nultim subvencijama”, objasnite kako će se obezbijediti </w:t>
      </w:r>
      <w:r w:rsidRPr="0086255B">
        <w:rPr>
          <w:rStyle w:val="oj-italic"/>
          <w:rFonts w:asciiTheme="minorHAnsi" w:hAnsiTheme="minorHAnsi" w:cstheme="minorHAnsi"/>
          <w:noProof/>
          <w:sz w:val="22"/>
          <w:shd w:val="clear" w:color="auto" w:fill="FFFFFF"/>
        </w:rPr>
        <w:t>proporcionalnost</w:t>
      </w:r>
      <w:r w:rsidRPr="0086255B">
        <w:rPr>
          <w:rFonts w:asciiTheme="minorHAnsi" w:hAnsiTheme="minorHAnsi" w:cstheme="minorHAnsi"/>
          <w:noProof/>
          <w:sz w:val="22"/>
        </w:rPr>
        <w:t>;</w:t>
      </w:r>
    </w:p>
    <w:p w14:paraId="43DE2BEE" w14:textId="77777777" w:rsidR="00211F70" w:rsidRPr="0086255B" w:rsidRDefault="00211F70" w:rsidP="00211F70">
      <w:pPr>
        <w:tabs>
          <w:tab w:val="left" w:leader="dot" w:pos="9072"/>
        </w:tabs>
        <w:spacing w:before="120" w:after="120"/>
        <w:jc w:val="both"/>
        <w:rPr>
          <w:rFonts w:cstheme="minorHAnsi"/>
          <w:noProof/>
        </w:rPr>
      </w:pPr>
      <w:r w:rsidRPr="0086255B">
        <w:rPr>
          <w:rFonts w:cstheme="minorHAnsi"/>
          <w:noProof/>
        </w:rPr>
        <w:tab/>
      </w:r>
    </w:p>
    <w:p w14:paraId="3D48197C" w14:textId="77777777" w:rsidR="00211F70" w:rsidRPr="0086255B" w:rsidRDefault="00211F70" w:rsidP="00211F70">
      <w:pPr>
        <w:pStyle w:val="Point1letter"/>
        <w:numPr>
          <w:ilvl w:val="0"/>
          <w:numId w:val="18"/>
        </w:numPr>
        <w:ind w:left="720"/>
        <w:rPr>
          <w:rFonts w:asciiTheme="minorHAnsi" w:hAnsiTheme="minorHAnsi" w:cstheme="minorHAnsi"/>
          <w:noProof/>
          <w:sz w:val="22"/>
        </w:rPr>
      </w:pPr>
      <w:r w:rsidRPr="0086255B">
        <w:rPr>
          <w:rFonts w:asciiTheme="minorHAnsi" w:hAnsiTheme="minorHAnsi" w:cstheme="minorHAnsi"/>
          <w:noProof/>
          <w:sz w:val="22"/>
        </w:rPr>
        <w:t>pojasnite da li nadležni organi predviđaju primjenu najnižih cijena ili ograničenja cijena u konkurentnom tenderskom postupku. Ako predviđaju, obrazložite njihovu primjenu i objasnite kako se njima ne ograničava konkurentni tenderski postupak</w:t>
      </w:r>
      <w:r w:rsidRPr="0086255B">
        <w:rPr>
          <w:rStyle w:val="FootnoteReference"/>
          <w:rFonts w:asciiTheme="minorHAnsi" w:hAnsiTheme="minorHAnsi" w:cstheme="minorHAnsi"/>
          <w:noProof/>
          <w:sz w:val="22"/>
        </w:rPr>
        <w:footnoteReference w:id="4"/>
      </w:r>
      <w:r w:rsidRPr="0086255B">
        <w:rPr>
          <w:rFonts w:asciiTheme="minorHAnsi" w:hAnsiTheme="minorHAnsi" w:cstheme="minorHAnsi"/>
          <w:noProof/>
          <w:sz w:val="22"/>
        </w:rPr>
        <w:t xml:space="preserve"> (tačka 49 i fusnota 42 CEEAG-a).</w:t>
      </w:r>
    </w:p>
    <w:p w14:paraId="12068397" w14:textId="77777777" w:rsidR="00211F70" w:rsidRPr="0086255B" w:rsidRDefault="00211F70" w:rsidP="00211F70">
      <w:pPr>
        <w:tabs>
          <w:tab w:val="left" w:leader="dot" w:pos="9072"/>
        </w:tabs>
        <w:spacing w:before="120" w:after="120"/>
        <w:jc w:val="both"/>
        <w:rPr>
          <w:rFonts w:cstheme="minorHAnsi"/>
          <w:noProof/>
        </w:rPr>
      </w:pPr>
      <w:r w:rsidRPr="0086255B">
        <w:rPr>
          <w:rFonts w:cstheme="minorHAnsi"/>
          <w:noProof/>
        </w:rPr>
        <w:tab/>
      </w:r>
    </w:p>
    <w:p w14:paraId="1EF2EDA8" w14:textId="77777777" w:rsidR="00211F70" w:rsidRPr="0086255B" w:rsidRDefault="00211F70" w:rsidP="00211F70">
      <w:pPr>
        <w:pStyle w:val="Heading4"/>
        <w:keepLines w:val="0"/>
        <w:numPr>
          <w:ilvl w:val="3"/>
          <w:numId w:val="14"/>
        </w:numPr>
        <w:tabs>
          <w:tab w:val="clear" w:pos="850"/>
        </w:tabs>
        <w:spacing w:before="120" w:after="120"/>
        <w:ind w:left="720" w:hanging="720"/>
        <w:rPr>
          <w:rFonts w:asciiTheme="minorHAnsi" w:hAnsiTheme="minorHAnsi" w:cstheme="minorHAnsi"/>
          <w:i w:val="0"/>
          <w:noProof/>
          <w:color w:val="auto"/>
          <w:sz w:val="22"/>
          <w:szCs w:val="22"/>
        </w:rPr>
      </w:pPr>
      <w:r w:rsidRPr="0086255B">
        <w:rPr>
          <w:rFonts w:asciiTheme="minorHAnsi" w:hAnsiTheme="minorHAnsi" w:cstheme="minorHAnsi"/>
          <w:noProof/>
          <w:color w:val="auto"/>
          <w:sz w:val="22"/>
          <w:szCs w:val="22"/>
        </w:rPr>
        <w:t>Proporcionalnost pomoći koja se ne dodjeljuje u okviru konkurentnog tenderskog postupka</w:t>
      </w:r>
    </w:p>
    <w:p w14:paraId="6894098A" w14:textId="77777777" w:rsidR="00211F70" w:rsidRPr="0086255B" w:rsidRDefault="00211F70" w:rsidP="00211F70">
      <w:pPr>
        <w:pStyle w:val="Heading4"/>
        <w:numPr>
          <w:ilvl w:val="0"/>
          <w:numId w:val="0"/>
        </w:numPr>
        <w:spacing w:before="120" w:after="120"/>
        <w:rPr>
          <w:rFonts w:asciiTheme="minorHAnsi" w:hAnsiTheme="minorHAnsi" w:cstheme="minorHAnsi"/>
          <w:b w:val="0"/>
          <w:i w:val="0"/>
          <w:noProof/>
          <w:color w:val="auto"/>
          <w:sz w:val="22"/>
          <w:szCs w:val="22"/>
        </w:rPr>
      </w:pPr>
      <w:r w:rsidRPr="0086255B">
        <w:rPr>
          <w:rFonts w:asciiTheme="minorHAnsi" w:hAnsiTheme="minorHAnsi" w:cstheme="minorHAnsi"/>
          <w:b w:val="0"/>
          <w:noProof/>
          <w:color w:val="auto"/>
          <w:sz w:val="22"/>
          <w:szCs w:val="22"/>
        </w:rPr>
        <w:t>Za unos podataka u ovom odjeljku vidjeti tačke od 51 do 55 i od 353 do 357 CEEAG-a.</w:t>
      </w:r>
    </w:p>
    <w:p w14:paraId="123EE63A" w14:textId="77777777" w:rsidR="00211F70" w:rsidRPr="0086255B" w:rsidRDefault="00211F70" w:rsidP="00211F70">
      <w:pPr>
        <w:spacing w:before="120" w:after="120"/>
        <w:jc w:val="both"/>
        <w:rPr>
          <w:rFonts w:cstheme="minorHAnsi"/>
          <w:i/>
        </w:rPr>
      </w:pPr>
      <w:proofErr w:type="spellStart"/>
      <w:r w:rsidRPr="0086255B">
        <w:rPr>
          <w:rFonts w:cstheme="minorHAnsi"/>
          <w:i/>
        </w:rPr>
        <w:t>Ovaj</w:t>
      </w:r>
      <w:proofErr w:type="spellEnd"/>
      <w:r w:rsidRPr="0086255B">
        <w:rPr>
          <w:rFonts w:cstheme="minorHAnsi"/>
          <w:i/>
        </w:rPr>
        <w:t xml:space="preserve"> </w:t>
      </w:r>
      <w:proofErr w:type="spellStart"/>
      <w:r w:rsidRPr="0086255B">
        <w:rPr>
          <w:rFonts w:cstheme="minorHAnsi"/>
          <w:i/>
        </w:rPr>
        <w:t>odjeljak</w:t>
      </w:r>
      <w:proofErr w:type="spellEnd"/>
      <w:r w:rsidRPr="0086255B">
        <w:rPr>
          <w:rFonts w:cstheme="minorHAnsi"/>
          <w:i/>
        </w:rPr>
        <w:t xml:space="preserve"> se </w:t>
      </w:r>
      <w:r w:rsidRPr="0086255B">
        <w:rPr>
          <w:rFonts w:cstheme="minorHAnsi"/>
          <w:i/>
          <w:u w:val="single"/>
        </w:rPr>
        <w:t xml:space="preserve">ne </w:t>
      </w:r>
      <w:proofErr w:type="spellStart"/>
      <w:r w:rsidRPr="0086255B">
        <w:rPr>
          <w:rFonts w:cstheme="minorHAnsi"/>
          <w:i/>
          <w:u w:val="single"/>
        </w:rPr>
        <w:t>primjenjuje</w:t>
      </w:r>
      <w:proofErr w:type="spellEnd"/>
      <w:r w:rsidRPr="0086255B">
        <w:rPr>
          <w:rFonts w:cstheme="minorHAnsi"/>
          <w:i/>
        </w:rPr>
        <w:t xml:space="preserve"> </w:t>
      </w:r>
      <w:proofErr w:type="spellStart"/>
      <w:r w:rsidRPr="0086255B">
        <w:rPr>
          <w:rFonts w:cstheme="minorHAnsi"/>
          <w:i/>
        </w:rPr>
        <w:t>na</w:t>
      </w:r>
      <w:proofErr w:type="spellEnd"/>
      <w:r w:rsidRPr="0086255B">
        <w:rPr>
          <w:rFonts w:cstheme="minorHAnsi"/>
          <w:i/>
        </w:rPr>
        <w:t xml:space="preserve"> </w:t>
      </w:r>
      <w:proofErr w:type="spellStart"/>
      <w:r w:rsidRPr="0086255B">
        <w:rPr>
          <w:rFonts w:cstheme="minorHAnsi"/>
          <w:i/>
        </w:rPr>
        <w:t>mjere</w:t>
      </w:r>
      <w:proofErr w:type="spellEnd"/>
      <w:r w:rsidRPr="0086255B">
        <w:rPr>
          <w:rFonts w:cstheme="minorHAnsi"/>
          <w:i/>
        </w:rPr>
        <w:t xml:space="preserve"> u </w:t>
      </w:r>
      <w:proofErr w:type="spellStart"/>
      <w:r w:rsidRPr="0086255B">
        <w:rPr>
          <w:rFonts w:cstheme="minorHAnsi"/>
          <w:i/>
        </w:rPr>
        <w:t>kojima</w:t>
      </w:r>
      <w:proofErr w:type="spellEnd"/>
      <w:r w:rsidRPr="0086255B">
        <w:rPr>
          <w:rFonts w:cstheme="minorHAnsi"/>
          <w:i/>
        </w:rPr>
        <w:t xml:space="preserve"> se </w:t>
      </w:r>
      <w:proofErr w:type="spellStart"/>
      <w:r w:rsidRPr="0086255B">
        <w:rPr>
          <w:rFonts w:cstheme="minorHAnsi"/>
          <w:i/>
        </w:rPr>
        <w:t>pomoć</w:t>
      </w:r>
      <w:proofErr w:type="spellEnd"/>
      <w:r w:rsidRPr="0086255B">
        <w:rPr>
          <w:rFonts w:cstheme="minorHAnsi"/>
          <w:i/>
        </w:rPr>
        <w:t xml:space="preserve"> </w:t>
      </w:r>
      <w:proofErr w:type="spellStart"/>
      <w:r w:rsidRPr="0086255B">
        <w:rPr>
          <w:rFonts w:cstheme="minorHAnsi"/>
          <w:i/>
        </w:rPr>
        <w:t>dodjeljuje</w:t>
      </w:r>
      <w:proofErr w:type="spellEnd"/>
      <w:r w:rsidRPr="0086255B">
        <w:rPr>
          <w:rFonts w:cstheme="minorHAnsi"/>
          <w:i/>
        </w:rPr>
        <w:t xml:space="preserve"> u </w:t>
      </w:r>
      <w:proofErr w:type="spellStart"/>
      <w:r w:rsidRPr="0086255B">
        <w:rPr>
          <w:rFonts w:cstheme="minorHAnsi"/>
          <w:i/>
        </w:rPr>
        <w:t>okviru</w:t>
      </w:r>
      <w:proofErr w:type="spellEnd"/>
      <w:r w:rsidRPr="0086255B">
        <w:rPr>
          <w:rFonts w:cstheme="minorHAnsi"/>
          <w:i/>
        </w:rPr>
        <w:t xml:space="preserve"> </w:t>
      </w:r>
      <w:proofErr w:type="spellStart"/>
      <w:r w:rsidRPr="0086255B">
        <w:rPr>
          <w:rFonts w:cstheme="minorHAnsi"/>
          <w:i/>
          <w:u w:val="single"/>
        </w:rPr>
        <w:t>konkurentnog</w:t>
      </w:r>
      <w:proofErr w:type="spellEnd"/>
      <w:r w:rsidRPr="0086255B">
        <w:rPr>
          <w:rFonts w:cstheme="minorHAnsi"/>
          <w:i/>
          <w:u w:val="single"/>
        </w:rPr>
        <w:t xml:space="preserve"> </w:t>
      </w:r>
      <w:proofErr w:type="spellStart"/>
      <w:r w:rsidRPr="0086255B">
        <w:rPr>
          <w:rFonts w:cstheme="minorHAnsi"/>
          <w:i/>
          <w:u w:val="single"/>
        </w:rPr>
        <w:t>tenderskog</w:t>
      </w:r>
      <w:proofErr w:type="spellEnd"/>
      <w:r w:rsidRPr="0086255B">
        <w:rPr>
          <w:rFonts w:cstheme="minorHAnsi"/>
          <w:i/>
          <w:u w:val="single"/>
        </w:rPr>
        <w:t xml:space="preserve"> </w:t>
      </w:r>
      <w:proofErr w:type="spellStart"/>
      <w:r w:rsidRPr="0086255B">
        <w:rPr>
          <w:rFonts w:cstheme="minorHAnsi"/>
          <w:i/>
          <w:u w:val="single"/>
        </w:rPr>
        <w:t>postupka</w:t>
      </w:r>
      <w:proofErr w:type="spellEnd"/>
      <w:r w:rsidRPr="0086255B">
        <w:rPr>
          <w:rFonts w:cstheme="minorHAnsi"/>
          <w:i/>
        </w:rPr>
        <w:t xml:space="preserve">. Za </w:t>
      </w:r>
      <w:proofErr w:type="spellStart"/>
      <w:r w:rsidRPr="0086255B">
        <w:rPr>
          <w:rFonts w:cstheme="minorHAnsi"/>
          <w:i/>
        </w:rPr>
        <w:t>takve</w:t>
      </w:r>
      <w:proofErr w:type="spellEnd"/>
      <w:r w:rsidRPr="0086255B">
        <w:rPr>
          <w:rFonts w:cstheme="minorHAnsi"/>
          <w:i/>
        </w:rPr>
        <w:t xml:space="preserve"> </w:t>
      </w:r>
      <w:proofErr w:type="spellStart"/>
      <w:r w:rsidRPr="0086255B">
        <w:rPr>
          <w:rFonts w:cstheme="minorHAnsi"/>
          <w:i/>
        </w:rPr>
        <w:t>mjere</w:t>
      </w:r>
      <w:proofErr w:type="spellEnd"/>
      <w:r w:rsidRPr="0086255B">
        <w:rPr>
          <w:rFonts w:cstheme="minorHAnsi"/>
          <w:i/>
        </w:rPr>
        <w:t xml:space="preserve"> </w:t>
      </w:r>
      <w:proofErr w:type="spellStart"/>
      <w:r w:rsidRPr="0086255B">
        <w:rPr>
          <w:rFonts w:cstheme="minorHAnsi"/>
          <w:i/>
        </w:rPr>
        <w:t>odgovorite</w:t>
      </w:r>
      <w:proofErr w:type="spellEnd"/>
      <w:r w:rsidRPr="0086255B">
        <w:rPr>
          <w:rFonts w:cstheme="minorHAnsi"/>
          <w:i/>
        </w:rPr>
        <w:t xml:space="preserve"> </w:t>
      </w:r>
      <w:proofErr w:type="spellStart"/>
      <w:r w:rsidRPr="0086255B">
        <w:rPr>
          <w:rFonts w:cstheme="minorHAnsi"/>
          <w:i/>
        </w:rPr>
        <w:t>na</w:t>
      </w:r>
      <w:proofErr w:type="spellEnd"/>
      <w:r w:rsidRPr="0086255B">
        <w:rPr>
          <w:rFonts w:cstheme="minorHAnsi"/>
          <w:i/>
        </w:rPr>
        <w:t xml:space="preserve"> </w:t>
      </w:r>
      <w:proofErr w:type="spellStart"/>
      <w:r w:rsidRPr="0086255B">
        <w:rPr>
          <w:rFonts w:cstheme="minorHAnsi"/>
          <w:i/>
        </w:rPr>
        <w:t>odjeljak</w:t>
      </w:r>
      <w:proofErr w:type="spellEnd"/>
      <w:r w:rsidRPr="0086255B">
        <w:rPr>
          <w:rFonts w:cstheme="minorHAnsi"/>
          <w:i/>
        </w:rPr>
        <w:t xml:space="preserve"> 2.5.1.1.</w:t>
      </w:r>
    </w:p>
    <w:p w14:paraId="1212F28D" w14:textId="77777777" w:rsidR="00211F70" w:rsidRPr="0086255B" w:rsidRDefault="00211F70" w:rsidP="00211F70">
      <w:pPr>
        <w:pStyle w:val="NumPar1"/>
        <w:numPr>
          <w:ilvl w:val="0"/>
          <w:numId w:val="13"/>
        </w:numPr>
        <w:tabs>
          <w:tab w:val="clear" w:pos="850"/>
        </w:tabs>
        <w:ind w:left="360" w:hanging="360"/>
        <w:rPr>
          <w:rFonts w:asciiTheme="minorHAnsi" w:hAnsiTheme="minorHAnsi" w:cstheme="minorHAnsi"/>
          <w:sz w:val="22"/>
          <w:lang w:val="sr-Latn-ME"/>
        </w:rPr>
      </w:pPr>
      <w:r w:rsidRPr="0086255B">
        <w:rPr>
          <w:rFonts w:asciiTheme="minorHAnsi" w:hAnsiTheme="minorHAnsi" w:cstheme="minorHAnsi"/>
          <w:sz w:val="22"/>
          <w:lang w:val="sr-Latn-ME"/>
        </w:rPr>
        <w:t>Kako bi se procijenila usklađenost sa tačkom 353 CEEAG-a, i u slučaju da već nije dostavljeno u odgovoru na pitanje 16 iznad, dostavite analizu koja je korišćena za utvrđivanje nivoa potražnje u prijavljenoj mjeri za sigurnost snabdijevanja na osnovu standarda pouzdanosti ili analize troškova i koristi. Potvrdite da analiza korišćena za utvrđivanje nivoa potražnje nije starija od 12 mjeseci u trenutku kada se nivo potražnje utvrđuje.</w:t>
      </w:r>
    </w:p>
    <w:p w14:paraId="7BEFB687" w14:textId="77777777" w:rsidR="00211F70" w:rsidRPr="0086255B" w:rsidRDefault="00211F70" w:rsidP="00211F70">
      <w:pPr>
        <w:spacing w:before="120" w:after="120"/>
        <w:jc w:val="both"/>
        <w:rPr>
          <w:rFonts w:cstheme="minorHAnsi"/>
          <w:noProof/>
        </w:rPr>
      </w:pPr>
      <w:r w:rsidRPr="0086255B">
        <w:rPr>
          <w:rFonts w:cstheme="minorHAnsi"/>
          <w:noProof/>
        </w:rPr>
        <w:lastRenderedPageBreak/>
        <w:t>..................................................................................................................................................................</w:t>
      </w:r>
    </w:p>
    <w:p w14:paraId="363A58CC" w14:textId="77777777" w:rsidR="00211F70" w:rsidRPr="0086255B" w:rsidRDefault="00211F70" w:rsidP="00211F70">
      <w:pPr>
        <w:pStyle w:val="NumPar1"/>
        <w:numPr>
          <w:ilvl w:val="0"/>
          <w:numId w:val="13"/>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U skladu sa tačkom 354 CEEAG-a, dokažite da vremenski period između odobrenja pomoći i roka do kada projekti moraju biti realizovani omogućava efikasnu konkurenciju između različitih prihvatljivih projekata.</w:t>
      </w:r>
    </w:p>
    <w:p w14:paraId="776D5868" w14:textId="77777777" w:rsidR="00211F70" w:rsidRPr="0086255B" w:rsidRDefault="00211F70" w:rsidP="00211F70">
      <w:pPr>
        <w:spacing w:before="120" w:after="120"/>
        <w:jc w:val="both"/>
        <w:rPr>
          <w:rFonts w:cstheme="minorHAnsi"/>
          <w:noProof/>
        </w:rPr>
      </w:pPr>
      <w:r w:rsidRPr="0086255B">
        <w:rPr>
          <w:rFonts w:cstheme="minorHAnsi"/>
          <w:noProof/>
        </w:rPr>
        <w:t>..................................................................................................................................................................</w:t>
      </w:r>
    </w:p>
    <w:p w14:paraId="38E586DE" w14:textId="77777777" w:rsidR="00211F70" w:rsidRPr="0086255B" w:rsidRDefault="00211F70" w:rsidP="00211F70">
      <w:pPr>
        <w:numPr>
          <w:ilvl w:val="0"/>
          <w:numId w:val="13"/>
        </w:numPr>
        <w:tabs>
          <w:tab w:val="clear" w:pos="850"/>
        </w:tabs>
        <w:spacing w:before="120" w:after="120" w:line="240" w:lineRule="auto"/>
        <w:ind w:left="360" w:hanging="360"/>
        <w:jc w:val="both"/>
        <w:rPr>
          <w:rFonts w:cstheme="minorHAnsi"/>
          <w:noProof/>
        </w:rPr>
      </w:pPr>
      <w:r w:rsidRPr="0086255B">
        <w:rPr>
          <w:rFonts w:cstheme="minorHAnsi"/>
          <w:noProof/>
        </w:rPr>
        <w:t>U skladu sa tačkom 356 CEEAG-a, dokažite da korisnici mjera za sigurnost snabdijevanja imaju efikasne podsticaje da doprinesu sigurnosti snabdijevanja tokom perioda isporuke. Ovi podsticaji bi generalno trebali biti povezani sa vrijednošću neisporučene energije (VoLL) kako je utvrđeno u skladu sa članom 11 Regulative (EU) 2019/943.</w:t>
      </w:r>
    </w:p>
    <w:p w14:paraId="5873BA81" w14:textId="77777777" w:rsidR="00211F70" w:rsidRPr="0086255B" w:rsidRDefault="00211F70" w:rsidP="00211F70">
      <w:pPr>
        <w:spacing w:before="120" w:after="120"/>
        <w:jc w:val="both"/>
        <w:rPr>
          <w:rFonts w:cstheme="minorHAnsi"/>
          <w:noProof/>
        </w:rPr>
      </w:pPr>
      <w:r w:rsidRPr="0086255B">
        <w:rPr>
          <w:rFonts w:cstheme="minorHAnsi"/>
          <w:noProof/>
        </w:rPr>
        <w:t>..................................................................................................................................................................</w:t>
      </w:r>
    </w:p>
    <w:p w14:paraId="6AC6C81E" w14:textId="77777777" w:rsidR="00211F70" w:rsidRPr="0086255B" w:rsidRDefault="00211F70" w:rsidP="00211F70">
      <w:pPr>
        <w:numPr>
          <w:ilvl w:val="0"/>
          <w:numId w:val="13"/>
        </w:numPr>
        <w:tabs>
          <w:tab w:val="clear" w:pos="850"/>
        </w:tabs>
        <w:spacing w:before="120" w:after="120" w:line="240" w:lineRule="auto"/>
        <w:ind w:left="360" w:hanging="360"/>
        <w:jc w:val="both"/>
        <w:rPr>
          <w:rFonts w:cstheme="minorHAnsi"/>
          <w:noProof/>
        </w:rPr>
      </w:pPr>
      <w:r w:rsidRPr="0086255B">
        <w:rPr>
          <w:rFonts w:cstheme="minorHAnsi"/>
          <w:noProof/>
        </w:rPr>
        <w:t>Objasnite zašto se ne primjenjuje konkurentslii tenderski postupak (u skladu sa tačkom 355 CEEAG-a).</w:t>
      </w:r>
    </w:p>
    <w:p w14:paraId="66F81E42" w14:textId="77777777" w:rsidR="00211F70" w:rsidRPr="0086255B" w:rsidRDefault="00211F70" w:rsidP="00211F70">
      <w:pPr>
        <w:spacing w:before="120" w:after="120"/>
        <w:jc w:val="both"/>
        <w:rPr>
          <w:rFonts w:cstheme="minorHAnsi"/>
          <w:noProof/>
        </w:rPr>
      </w:pPr>
      <w:r w:rsidRPr="0086255B">
        <w:rPr>
          <w:rFonts w:cstheme="minorHAnsi"/>
          <w:noProof/>
        </w:rPr>
        <w:t>..................................................................................................................................................................</w:t>
      </w:r>
    </w:p>
    <w:p w14:paraId="57ADB174" w14:textId="77777777" w:rsidR="00211F70" w:rsidRPr="0086255B" w:rsidRDefault="00211F70" w:rsidP="00211F70">
      <w:pPr>
        <w:numPr>
          <w:ilvl w:val="0"/>
          <w:numId w:val="13"/>
        </w:numPr>
        <w:tabs>
          <w:tab w:val="clear" w:pos="850"/>
        </w:tabs>
        <w:spacing w:before="120" w:after="120" w:line="240" w:lineRule="auto"/>
        <w:ind w:left="360" w:hanging="360"/>
        <w:jc w:val="both"/>
        <w:rPr>
          <w:rFonts w:cstheme="minorHAnsi"/>
          <w:noProof/>
        </w:rPr>
      </w:pPr>
      <w:r w:rsidRPr="0086255B">
        <w:rPr>
          <w:rFonts w:cstheme="minorHAnsi"/>
          <w:noProof/>
        </w:rPr>
        <w:t>U slučaju šema pomoći, dostavite listu referentnih projekata i objašnjenje zašto su oni definisani (na primjer, objašnjavajući da se u okviru svakog referentnog projekta očekuje da će troškovi i prihodi biti u velikoj meri slični). Kako bi se izbjegla sumnja, referentni projekat je primjer projekta koji je reprezentativan za prosječan projekat u kategoriji korisnika koji ispunjavaju uslove šeme pomoći (tačka 19 podtačka 69 CEEAG-a).</w:t>
      </w:r>
    </w:p>
    <w:p w14:paraId="3D7D8310" w14:textId="77777777" w:rsidR="00211F70" w:rsidRPr="0086255B" w:rsidRDefault="00211F70" w:rsidP="00211F70">
      <w:pPr>
        <w:spacing w:before="120" w:after="120"/>
        <w:jc w:val="both"/>
        <w:rPr>
          <w:rFonts w:cstheme="minorHAnsi"/>
          <w:noProof/>
        </w:rPr>
      </w:pPr>
      <w:r w:rsidRPr="0086255B">
        <w:rPr>
          <w:rFonts w:cstheme="minorHAnsi"/>
          <w:noProof/>
        </w:rPr>
        <w:t>..................................................................................................................................................................</w:t>
      </w:r>
    </w:p>
    <w:p w14:paraId="1319C113" w14:textId="77777777" w:rsidR="00211F70" w:rsidRPr="0086255B" w:rsidRDefault="00211F70" w:rsidP="00211F70">
      <w:pPr>
        <w:numPr>
          <w:ilvl w:val="0"/>
          <w:numId w:val="13"/>
        </w:numPr>
        <w:tabs>
          <w:tab w:val="clear" w:pos="850"/>
        </w:tabs>
        <w:spacing w:before="120" w:after="120" w:line="240" w:lineRule="auto"/>
        <w:ind w:left="360" w:hanging="360"/>
        <w:jc w:val="both"/>
        <w:rPr>
          <w:rFonts w:cstheme="minorHAnsi"/>
          <w:noProof/>
        </w:rPr>
      </w:pPr>
      <w:r w:rsidRPr="0086255B">
        <w:rPr>
          <w:rFonts w:cstheme="minorHAnsi"/>
          <w:noProof/>
        </w:rPr>
        <w:t>U skladu sa tačkom 51 CEEAG-a, za svaki referentni projekat (u slučaju šema pomoći) ili za svakog korisnika (u slučaju individualne pomoći), dokažite da pomoć ne prelazi najniži potreban nivo, tj. razliku između neto sadašnje vrijednosti za stvarni scenario i neto sadašnje vrijednosti za uporedni scenario tokom životnog ciklusa referentnog projekta/projekta.</w:t>
      </w:r>
    </w:p>
    <w:p w14:paraId="5E10BB96" w14:textId="77777777" w:rsidR="00211F70" w:rsidRPr="0086255B" w:rsidRDefault="00211F70" w:rsidP="00211F70">
      <w:pPr>
        <w:spacing w:before="120" w:after="120"/>
        <w:ind w:left="360"/>
        <w:jc w:val="both"/>
        <w:rPr>
          <w:rFonts w:cstheme="minorHAnsi"/>
          <w:noProof/>
        </w:rPr>
      </w:pPr>
      <w:r w:rsidRPr="0086255B">
        <w:rPr>
          <w:rFonts w:cstheme="minorHAnsi"/>
          <w:noProof/>
        </w:rPr>
        <w:t>Za potrebe ove analize finansijskog jaza dostavite - za činjenični i realni uporedni scenario</w:t>
      </w:r>
      <w:r w:rsidRPr="0086255B">
        <w:rPr>
          <w:rFonts w:cstheme="minorHAnsi"/>
          <w:noProof/>
          <w:vertAlign w:val="superscript"/>
        </w:rPr>
        <w:footnoteReference w:id="5"/>
      </w:r>
      <w:r w:rsidRPr="0086255B">
        <w:rPr>
          <w:rFonts w:cstheme="minorHAnsi"/>
          <w:noProof/>
        </w:rPr>
        <w:t xml:space="preserve"> svih glavnih troškova i prihoda, procijenjenu ponderisanu prosječnu cijenu kapitala korisnika (ili referentnih projekata u slučaju šema pomoći) za diskontovanje budućih novčanih tokova, kao i neto sadašnju vrijednost za činjenični i uporedni scenario tokom životnog ciklusa projekta/referentnog projekta. </w:t>
      </w:r>
    </w:p>
    <w:p w14:paraId="42F9407C" w14:textId="77777777" w:rsidR="00211F70" w:rsidRPr="0086255B" w:rsidRDefault="00211F70" w:rsidP="00211F70">
      <w:pPr>
        <w:pStyle w:val="Point1letter"/>
        <w:numPr>
          <w:ilvl w:val="3"/>
          <w:numId w:val="19"/>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te podatke dostavite u prilogu ovom obrascu prijave (u datoteci formata Excel u kojoj su vidljive sve formule);</w:t>
      </w:r>
    </w:p>
    <w:p w14:paraId="6F2BAA76" w14:textId="77777777" w:rsidR="00211F70" w:rsidRPr="0086255B" w:rsidRDefault="00211F70" w:rsidP="00211F70">
      <w:pPr>
        <w:tabs>
          <w:tab w:val="left" w:leader="dot" w:pos="9072"/>
        </w:tabs>
        <w:spacing w:before="120" w:after="120"/>
        <w:jc w:val="both"/>
        <w:rPr>
          <w:rFonts w:cstheme="minorHAnsi"/>
          <w:noProof/>
        </w:rPr>
      </w:pPr>
      <w:r w:rsidRPr="0086255B">
        <w:rPr>
          <w:rFonts w:cstheme="minorHAnsi"/>
          <w:noProof/>
        </w:rPr>
        <w:tab/>
      </w:r>
    </w:p>
    <w:p w14:paraId="793773C4" w14:textId="77777777" w:rsidR="00211F70" w:rsidRPr="0086255B" w:rsidRDefault="00211F70" w:rsidP="00211F70">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shd w:val="clear" w:color="auto" w:fill="FFFFFF"/>
        </w:rPr>
        <w:t>navedite detaljne podatke o pretpostavkama, metodologijama, obrazloženjima i glavnim izvorima koji se upotrebljavaju za svaki aspekt kvantitativne procjene troškova i prihoda u stvarnom scenariju i vjerovatnom uporednom scenariju (npr. navedite pretpostavke upotrijebljene za utvrđivanje tih scenarija i izvor/obrazloženje za te pretpostavke);</w:t>
      </w:r>
    </w:p>
    <w:p w14:paraId="5F610CA1" w14:textId="77777777" w:rsidR="00211F70" w:rsidRPr="0086255B" w:rsidRDefault="00211F70" w:rsidP="00211F70">
      <w:pPr>
        <w:tabs>
          <w:tab w:val="left" w:leader="dot" w:pos="9072"/>
        </w:tabs>
        <w:spacing w:before="120" w:after="120"/>
        <w:jc w:val="both"/>
        <w:rPr>
          <w:rFonts w:cstheme="minorHAnsi"/>
          <w:noProof/>
        </w:rPr>
      </w:pPr>
      <w:r w:rsidRPr="0086255B">
        <w:rPr>
          <w:rFonts w:cstheme="minorHAnsi"/>
          <w:noProof/>
        </w:rPr>
        <w:tab/>
      </w:r>
    </w:p>
    <w:p w14:paraId="292E6205" w14:textId="77777777" w:rsidR="00211F70" w:rsidRPr="0086255B" w:rsidRDefault="00211F70" w:rsidP="00211F70">
      <w:pPr>
        <w:pStyle w:val="Point1letter"/>
        <w:tabs>
          <w:tab w:val="clear" w:pos="1417"/>
        </w:tabs>
        <w:ind w:left="720" w:hanging="360"/>
        <w:rPr>
          <w:rFonts w:asciiTheme="minorHAnsi" w:hAnsiTheme="minorHAnsi" w:cstheme="minorHAnsi"/>
          <w:noProof/>
          <w:sz w:val="22"/>
          <w:shd w:val="clear" w:color="auto" w:fill="FFFFFF"/>
        </w:rPr>
      </w:pPr>
      <w:r w:rsidRPr="0086255B">
        <w:rPr>
          <w:rFonts w:asciiTheme="minorHAnsi" w:hAnsiTheme="minorHAnsi" w:cstheme="minorHAnsi"/>
          <w:noProof/>
          <w:sz w:val="22"/>
        </w:rPr>
        <w:t>uz ovaj obrazac prijave možete priložiti i dokumente navedene u fusnoti 39 CEEAG-a. Dokumenta upravnih odbora mogu biti posebno korisna za mjere individualne pomoći ili šeme pomoći namijenjene vrlo ograničenom broju korisnika. Ako su takva dokumenta priložena uz obrazac prijave, u nastavku navedite popis tih dokumenata i navedite autora, datum sastavljanja i kontekst u kojem su upotrijebljena.</w:t>
      </w:r>
    </w:p>
    <w:p w14:paraId="73731203" w14:textId="77777777" w:rsidR="00211F70" w:rsidRPr="0086255B" w:rsidRDefault="00211F70" w:rsidP="00211F70">
      <w:pPr>
        <w:tabs>
          <w:tab w:val="left" w:leader="dot" w:pos="9072"/>
        </w:tabs>
        <w:spacing w:before="120" w:after="120"/>
        <w:jc w:val="both"/>
        <w:rPr>
          <w:rFonts w:cstheme="minorHAnsi"/>
          <w:noProof/>
        </w:rPr>
      </w:pPr>
      <w:r w:rsidRPr="0086255B">
        <w:rPr>
          <w:rFonts w:cstheme="minorHAnsi"/>
          <w:noProof/>
        </w:rPr>
        <w:lastRenderedPageBreak/>
        <w:tab/>
      </w:r>
    </w:p>
    <w:p w14:paraId="2086DFC6" w14:textId="77777777" w:rsidR="00211F70" w:rsidRPr="0086255B" w:rsidRDefault="00211F70" w:rsidP="00211F70">
      <w:pPr>
        <w:pStyle w:val="NumPar1"/>
        <w:numPr>
          <w:ilvl w:val="0"/>
          <w:numId w:val="13"/>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ab/>
        <w:t>Ako se primjenjuje tačka 55 CEEAG-a, navedite informacije o modelima naknade koje država članica namjerava da uvede (modeli koji su kombinacija ex ante i ex post modela, ili modeli kojima će se uvesti ex post mehanizmi za povraćaj prekomjernih sredstava, ili mehanizmi praćenja troškova).</w:t>
      </w:r>
    </w:p>
    <w:p w14:paraId="71436AF2" w14:textId="77777777" w:rsidR="00211F70" w:rsidRPr="0086255B" w:rsidRDefault="00211F70" w:rsidP="00211F70">
      <w:pPr>
        <w:pStyle w:val="NumPar1"/>
        <w:tabs>
          <w:tab w:val="clear" w:pos="2625"/>
        </w:tabs>
        <w:ind w:left="720" w:hanging="360"/>
        <w:rPr>
          <w:rFonts w:asciiTheme="minorHAnsi" w:hAnsiTheme="minorHAnsi" w:cstheme="minorHAnsi"/>
          <w:noProof/>
          <w:sz w:val="22"/>
        </w:rPr>
      </w:pPr>
      <w:r w:rsidRPr="0086255B">
        <w:rPr>
          <w:rFonts w:asciiTheme="minorHAnsi" w:hAnsiTheme="minorHAnsi" w:cstheme="minorHAnsi"/>
          <w:noProof/>
          <w:sz w:val="22"/>
        </w:rPr>
        <w:t>Ako tačka 55 CEEAG-a nije primenjiva na mjeru, objasnite zašto.</w:t>
      </w:r>
    </w:p>
    <w:p w14:paraId="426AB2B6" w14:textId="77777777" w:rsidR="00211F70" w:rsidRPr="0086255B" w:rsidRDefault="00211F70" w:rsidP="00211F70">
      <w:pPr>
        <w:tabs>
          <w:tab w:val="left" w:leader="dot" w:pos="9072"/>
        </w:tabs>
        <w:spacing w:before="120" w:after="120"/>
        <w:jc w:val="both"/>
        <w:rPr>
          <w:rFonts w:cstheme="minorHAnsi"/>
          <w:noProof/>
        </w:rPr>
      </w:pPr>
      <w:r w:rsidRPr="0086255B">
        <w:rPr>
          <w:rFonts w:cstheme="minorHAnsi"/>
          <w:noProof/>
        </w:rPr>
        <w:tab/>
      </w:r>
    </w:p>
    <w:p w14:paraId="1256C012" w14:textId="77777777" w:rsidR="00211F70" w:rsidRPr="0086255B" w:rsidRDefault="00211F70" w:rsidP="00211F70">
      <w:pPr>
        <w:numPr>
          <w:ilvl w:val="0"/>
          <w:numId w:val="13"/>
        </w:numPr>
        <w:tabs>
          <w:tab w:val="clear" w:pos="850"/>
        </w:tabs>
        <w:spacing w:before="120" w:after="120" w:line="240" w:lineRule="auto"/>
        <w:ind w:left="360" w:hanging="360"/>
        <w:jc w:val="both"/>
        <w:rPr>
          <w:rFonts w:cstheme="minorHAnsi"/>
          <w:noProof/>
          <w:shd w:val="clear" w:color="auto" w:fill="FFFFFF"/>
        </w:rPr>
      </w:pPr>
      <w:r w:rsidRPr="0086255B">
        <w:rPr>
          <w:rFonts w:cstheme="minorHAnsi"/>
          <w:noProof/>
          <w:shd w:val="clear" w:color="auto" w:fill="FFFFFF"/>
        </w:rPr>
        <w:t>Ako su prijavljenje mjere u obliku šeme konkurentnih sertifikata ili obaveze za snabdjevače (tačka 357 CEEAG-a):</w:t>
      </w:r>
    </w:p>
    <w:p w14:paraId="25131EC0" w14:textId="77777777" w:rsidR="00211F70" w:rsidRPr="0086255B" w:rsidRDefault="00211F70" w:rsidP="00211F70">
      <w:pPr>
        <w:pStyle w:val="Point2letter"/>
        <w:ind w:left="720" w:hanging="360"/>
        <w:rPr>
          <w:rFonts w:asciiTheme="minorHAnsi" w:hAnsiTheme="minorHAnsi" w:cstheme="minorHAnsi"/>
          <w:noProof/>
          <w:sz w:val="22"/>
          <w:shd w:val="clear" w:color="auto" w:fill="FFFFFF"/>
        </w:rPr>
      </w:pPr>
      <w:r w:rsidRPr="0086255B">
        <w:rPr>
          <w:rFonts w:asciiTheme="minorHAnsi" w:hAnsiTheme="minorHAnsi" w:cstheme="minorHAnsi"/>
          <w:noProof/>
          <w:sz w:val="22"/>
          <w:shd w:val="clear" w:color="auto" w:fill="FFFFFF"/>
        </w:rPr>
        <w:t>potvrdite da će potražnja utvrđena u okviru šeme biti niža od potencijalne ponude; i</w:t>
      </w:r>
    </w:p>
    <w:p w14:paraId="698F65AB" w14:textId="77777777" w:rsidR="00211F70" w:rsidRPr="0086255B" w:rsidRDefault="00211F70" w:rsidP="00211F70">
      <w:pPr>
        <w:tabs>
          <w:tab w:val="left" w:leader="dot" w:pos="9072"/>
        </w:tabs>
        <w:spacing w:before="120" w:after="120"/>
        <w:jc w:val="both"/>
        <w:rPr>
          <w:rFonts w:cstheme="minorHAnsi"/>
          <w:noProof/>
        </w:rPr>
      </w:pPr>
      <w:r w:rsidRPr="0086255B">
        <w:rPr>
          <w:rFonts w:cstheme="minorHAnsi"/>
          <w:noProof/>
        </w:rPr>
        <w:tab/>
      </w:r>
    </w:p>
    <w:p w14:paraId="3D3C3A9F" w14:textId="77777777" w:rsidR="00211F70" w:rsidRPr="0086255B" w:rsidRDefault="00211F70" w:rsidP="00211F70">
      <w:pPr>
        <w:pStyle w:val="Point0letter"/>
        <w:numPr>
          <w:ilvl w:val="1"/>
          <w:numId w:val="20"/>
        </w:numPr>
        <w:ind w:left="720" w:hanging="360"/>
        <w:rPr>
          <w:rFonts w:asciiTheme="minorHAnsi" w:hAnsiTheme="minorHAnsi" w:cstheme="minorHAnsi"/>
          <w:noProof/>
          <w:sz w:val="22"/>
          <w:shd w:val="clear" w:color="auto" w:fill="FFFFFF"/>
        </w:rPr>
      </w:pPr>
      <w:r w:rsidRPr="0086255B">
        <w:rPr>
          <w:rFonts w:asciiTheme="minorHAnsi" w:hAnsiTheme="minorHAnsi" w:cstheme="minorHAnsi"/>
          <w:noProof/>
          <w:sz w:val="22"/>
          <w:shd w:val="clear" w:color="auto" w:fill="FFFFFF"/>
        </w:rPr>
        <w:t>objasnite na koji način će se utvrditi otkupna cijena/iznos penala i kako će se obezbijediti da ne dođe do prekomjerne kompenzacije.</w:t>
      </w:r>
    </w:p>
    <w:p w14:paraId="4AA1B602" w14:textId="77777777" w:rsidR="00211F70" w:rsidRPr="0086255B" w:rsidRDefault="00211F70" w:rsidP="00211F70">
      <w:pPr>
        <w:tabs>
          <w:tab w:val="left" w:leader="dot" w:pos="9072"/>
        </w:tabs>
        <w:spacing w:before="120" w:after="120"/>
        <w:jc w:val="both"/>
        <w:rPr>
          <w:rFonts w:cstheme="minorHAnsi"/>
          <w:noProof/>
        </w:rPr>
      </w:pPr>
      <w:r w:rsidRPr="0086255B">
        <w:rPr>
          <w:rFonts w:cstheme="minorHAnsi"/>
          <w:noProof/>
        </w:rPr>
        <w:tab/>
      </w:r>
    </w:p>
    <w:p w14:paraId="38D0592C" w14:textId="77777777" w:rsidR="00211F70" w:rsidRPr="0086255B" w:rsidRDefault="00211F70" w:rsidP="00211F70">
      <w:pPr>
        <w:pStyle w:val="Heading3"/>
        <w:keepLines w:val="0"/>
        <w:numPr>
          <w:ilvl w:val="2"/>
          <w:numId w:val="14"/>
        </w:numPr>
        <w:tabs>
          <w:tab w:val="clear" w:pos="850"/>
        </w:tabs>
        <w:spacing w:before="120" w:after="120"/>
        <w:ind w:left="360" w:hanging="360"/>
        <w:rPr>
          <w:rFonts w:asciiTheme="minorHAnsi" w:hAnsiTheme="minorHAnsi" w:cstheme="minorHAnsi"/>
          <w:i/>
          <w:noProof/>
          <w:color w:val="auto"/>
          <w:sz w:val="22"/>
          <w:szCs w:val="22"/>
        </w:rPr>
      </w:pPr>
      <w:r w:rsidRPr="0086255B">
        <w:rPr>
          <w:rFonts w:asciiTheme="minorHAnsi" w:hAnsiTheme="minorHAnsi" w:cstheme="minorHAnsi"/>
          <w:i/>
          <w:noProof/>
          <w:color w:val="auto"/>
          <w:sz w:val="22"/>
          <w:szCs w:val="22"/>
        </w:rPr>
        <w:t>Kumulacija pomoći</w:t>
      </w:r>
    </w:p>
    <w:p w14:paraId="2BF9BCC9" w14:textId="77777777" w:rsidR="00211F70" w:rsidRPr="0086255B" w:rsidRDefault="00211F70" w:rsidP="00211F70">
      <w:pPr>
        <w:spacing w:before="120" w:after="120"/>
        <w:jc w:val="both"/>
        <w:rPr>
          <w:rFonts w:cstheme="minorHAnsi"/>
          <w:i/>
          <w:iCs/>
          <w:noProof/>
        </w:rPr>
      </w:pPr>
      <w:r w:rsidRPr="0086255B">
        <w:rPr>
          <w:rFonts w:cstheme="minorHAnsi"/>
          <w:i/>
          <w:noProof/>
        </w:rPr>
        <w:t>Za unos podataka u ovom odjeljku vidjeti tačke 56 i 57 CEEAG-a.</w:t>
      </w:r>
    </w:p>
    <w:p w14:paraId="26CC2FA8" w14:textId="77777777" w:rsidR="00211F70" w:rsidRPr="0086255B" w:rsidRDefault="00211F70" w:rsidP="00211F70">
      <w:pPr>
        <w:pStyle w:val="NumPar1"/>
        <w:numPr>
          <w:ilvl w:val="0"/>
          <w:numId w:val="13"/>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Ako to već nije navedeno u dijelu I opšteg obrasca prijave i kako bi se provjerila usklađenost sa tačkom 56 CEEAG-a, objasnite da li se pomoć u okviru prijavljenih mjera može dodijeliti istovremeno u okviru nekoliko šema pomoći ili kumulirati sa ad-hoc ili </w:t>
      </w:r>
      <w:r w:rsidRPr="0086255B">
        <w:rPr>
          <w:rFonts w:asciiTheme="minorHAnsi" w:hAnsiTheme="minorHAnsi" w:cstheme="minorHAnsi"/>
          <w:i/>
          <w:noProof/>
          <w:sz w:val="22"/>
        </w:rPr>
        <w:t>de minimis</w:t>
      </w:r>
      <w:r w:rsidRPr="0086255B">
        <w:rPr>
          <w:rFonts w:asciiTheme="minorHAnsi" w:hAnsiTheme="minorHAnsi" w:cstheme="minorHAnsi"/>
          <w:noProof/>
          <w:sz w:val="22"/>
        </w:rPr>
        <w:t xml:space="preserve"> pomoći u odnosu na iste opravdane troškove. Ako može, navedite detalje o tim šemama pomoći, ad-hoc pomoći ili </w:t>
      </w:r>
      <w:r w:rsidRPr="0086255B">
        <w:rPr>
          <w:rFonts w:asciiTheme="minorHAnsi" w:hAnsiTheme="minorHAnsi" w:cstheme="minorHAnsi"/>
          <w:i/>
          <w:noProof/>
          <w:sz w:val="22"/>
        </w:rPr>
        <w:t>de minimis</w:t>
      </w:r>
      <w:r w:rsidRPr="0086255B">
        <w:rPr>
          <w:rFonts w:asciiTheme="minorHAnsi" w:hAnsiTheme="minorHAnsi" w:cstheme="minorHAnsi"/>
          <w:noProof/>
          <w:sz w:val="22"/>
        </w:rPr>
        <w:t xml:space="preserve"> pomoći, kao i način na koji će se pomoć kumulirati. Napominjemo da se možete pozvati na prethodno navedeno mjerenje.</w:t>
      </w:r>
    </w:p>
    <w:p w14:paraId="024D0232" w14:textId="77777777" w:rsidR="00211F70" w:rsidRPr="0086255B" w:rsidRDefault="00211F70" w:rsidP="00211F70">
      <w:pPr>
        <w:tabs>
          <w:tab w:val="left" w:leader="dot" w:pos="9072"/>
        </w:tabs>
        <w:spacing w:before="120" w:after="120"/>
        <w:jc w:val="both"/>
        <w:rPr>
          <w:rFonts w:cstheme="minorHAnsi"/>
          <w:noProof/>
        </w:rPr>
      </w:pPr>
      <w:r w:rsidRPr="0086255B">
        <w:rPr>
          <w:rFonts w:cstheme="minorHAnsi"/>
          <w:noProof/>
        </w:rPr>
        <w:tab/>
      </w:r>
    </w:p>
    <w:p w14:paraId="5F59FA8D" w14:textId="77777777" w:rsidR="00211F70" w:rsidRPr="0086255B" w:rsidRDefault="00211F70" w:rsidP="00211F70">
      <w:pPr>
        <w:pStyle w:val="NumPar1"/>
        <w:numPr>
          <w:ilvl w:val="0"/>
          <w:numId w:val="13"/>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Ako se primjenjuje tačka 56 CEEAG-a, obrazložite kako ukupni iznos pomoći dodijeljen na osnovu prijavljenih mjera za projekt ili djelatnost ne dovodi do prekomjerne naknade ili ne prelazi maksimalni iznos pomoći dozvoljen u skladu sa CEEAG-om. Najveći dopušteni iznos pomoći na osnovu CEEAG-a jeste iznos pomoći uključen u odabranu ponudu ili, ako nema konkurentnog postupka, manjak finansijskih sredstava uzimajući u obzir sve glavne prihode, uključujući druge izvore pomoći (tačka 51 CEEAG-a). Za svaku mjeru sa kojom se pomoć dodijeljena u okviru prijavljenih mjera pomoći može kumulirati navedite metodologiju koja je korišćenja kako bi se osigurala usklađenost sa uslovima utvrđenim u tački 56 CEEAG-a.</w:t>
      </w:r>
    </w:p>
    <w:p w14:paraId="19EDCA85" w14:textId="77777777" w:rsidR="00211F70" w:rsidRPr="0086255B" w:rsidRDefault="00211F70" w:rsidP="00211F70">
      <w:pPr>
        <w:tabs>
          <w:tab w:val="left" w:leader="dot" w:pos="9072"/>
        </w:tabs>
        <w:spacing w:before="120" w:after="120"/>
        <w:jc w:val="both"/>
        <w:rPr>
          <w:rFonts w:cstheme="minorHAnsi"/>
          <w:noProof/>
        </w:rPr>
      </w:pPr>
      <w:r w:rsidRPr="0086255B">
        <w:rPr>
          <w:rFonts w:cstheme="minorHAnsi"/>
          <w:noProof/>
        </w:rPr>
        <w:tab/>
      </w:r>
    </w:p>
    <w:p w14:paraId="527F0BE2" w14:textId="77777777" w:rsidR="00211F70" w:rsidRPr="0086255B" w:rsidRDefault="00211F70" w:rsidP="00211F70">
      <w:pPr>
        <w:pStyle w:val="NumPar1"/>
        <w:numPr>
          <w:ilvl w:val="0"/>
          <w:numId w:val="13"/>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Ako se primjenjuje tačka 57 CEEAG-a, tj. ako je pomoć dodijeljena u okviru prijavljenih mjera kombinovana sa finansijskim sredstvima</w:t>
      </w:r>
      <w:r w:rsidRPr="0086255B">
        <w:rPr>
          <w:rStyle w:val="FootnoteReference"/>
          <w:rFonts w:asciiTheme="minorHAnsi" w:hAnsiTheme="minorHAnsi" w:cstheme="minorHAnsi"/>
          <w:noProof/>
          <w:sz w:val="22"/>
          <w:lang w:eastAsia="en-GB"/>
        </w:rPr>
        <w:footnoteReference w:id="6"/>
      </w:r>
      <w:r w:rsidRPr="0086255B">
        <w:rPr>
          <w:rFonts w:asciiTheme="minorHAnsi" w:hAnsiTheme="minorHAnsi" w:cstheme="minorHAnsi"/>
          <w:noProof/>
          <w:sz w:val="22"/>
        </w:rPr>
        <w:t xml:space="preserve"> Unije kojima se centralizovano upravlja (koja ne predstavljaju državnu pomoć), obrazložite kako </w:t>
      </w:r>
      <w:r w:rsidRPr="0086255B">
        <w:rPr>
          <w:rFonts w:asciiTheme="minorHAnsi" w:hAnsiTheme="minorHAnsi" w:cstheme="minorHAnsi"/>
          <w:noProof/>
          <w:sz w:val="22"/>
          <w:shd w:val="clear" w:color="auto" w:fill="FFFFFF"/>
        </w:rPr>
        <w:t>ukupan iznos dodijeljenih javnih sredstava u odnosu na iste opravdane troškove ne dovodi do prekomjerne naknade.</w:t>
      </w:r>
    </w:p>
    <w:p w14:paraId="6EF7C673" w14:textId="77777777" w:rsidR="00211F70" w:rsidRPr="0086255B" w:rsidRDefault="00211F70" w:rsidP="00211F70">
      <w:pPr>
        <w:tabs>
          <w:tab w:val="left" w:leader="dot" w:pos="9072"/>
        </w:tabs>
        <w:spacing w:before="120" w:after="120"/>
        <w:jc w:val="both"/>
        <w:rPr>
          <w:rFonts w:cstheme="minorHAnsi"/>
          <w:noProof/>
        </w:rPr>
      </w:pPr>
      <w:r w:rsidRPr="0086255B">
        <w:rPr>
          <w:rFonts w:cstheme="minorHAnsi"/>
          <w:noProof/>
        </w:rPr>
        <w:tab/>
      </w:r>
    </w:p>
    <w:p w14:paraId="32851274" w14:textId="77777777" w:rsidR="00211F70" w:rsidRPr="0086255B" w:rsidRDefault="00211F70" w:rsidP="00211F70">
      <w:pPr>
        <w:pStyle w:val="Heading3"/>
        <w:keepLines w:val="0"/>
        <w:numPr>
          <w:ilvl w:val="2"/>
          <w:numId w:val="14"/>
        </w:numPr>
        <w:tabs>
          <w:tab w:val="clear" w:pos="850"/>
        </w:tabs>
        <w:spacing w:before="120" w:after="120"/>
        <w:ind w:left="360" w:hanging="360"/>
        <w:rPr>
          <w:rFonts w:asciiTheme="minorHAnsi" w:hAnsiTheme="minorHAnsi" w:cstheme="minorHAnsi"/>
          <w:i/>
          <w:noProof/>
          <w:color w:val="auto"/>
          <w:sz w:val="22"/>
          <w:szCs w:val="22"/>
        </w:rPr>
      </w:pPr>
      <w:r w:rsidRPr="0086255B">
        <w:rPr>
          <w:rFonts w:asciiTheme="minorHAnsi" w:hAnsiTheme="minorHAnsi" w:cstheme="minorHAnsi"/>
          <w:noProof/>
          <w:color w:val="auto"/>
          <w:sz w:val="22"/>
          <w:szCs w:val="22"/>
        </w:rPr>
        <w:t xml:space="preserve"> </w:t>
      </w:r>
      <w:r w:rsidRPr="0086255B">
        <w:rPr>
          <w:rFonts w:asciiTheme="minorHAnsi" w:hAnsiTheme="minorHAnsi" w:cstheme="minorHAnsi"/>
          <w:i/>
          <w:noProof/>
          <w:color w:val="auto"/>
          <w:sz w:val="22"/>
          <w:szCs w:val="22"/>
        </w:rPr>
        <w:t>Transparentnost</w:t>
      </w:r>
    </w:p>
    <w:p w14:paraId="3621BC8A" w14:textId="77777777" w:rsidR="00211F70" w:rsidRPr="0086255B" w:rsidRDefault="00211F70" w:rsidP="00211F70">
      <w:pPr>
        <w:spacing w:before="120" w:after="120"/>
        <w:jc w:val="both"/>
        <w:rPr>
          <w:rFonts w:cstheme="minorHAnsi"/>
          <w:i/>
          <w:noProof/>
        </w:rPr>
      </w:pPr>
      <w:r w:rsidRPr="0086255B">
        <w:rPr>
          <w:rFonts w:cstheme="minorHAnsi"/>
          <w:i/>
          <w:noProof/>
        </w:rPr>
        <w:t xml:space="preserve">Za unos podataka u ovom odjeljku vidjeti odjeljak 3.2.1.4. (tačke od 58 do 61) CEEAG-a. </w:t>
      </w:r>
    </w:p>
    <w:p w14:paraId="474AD026" w14:textId="77777777" w:rsidR="00211F70" w:rsidRPr="0086255B" w:rsidRDefault="00211F70" w:rsidP="00211F70">
      <w:pPr>
        <w:pStyle w:val="NumPar1"/>
        <w:numPr>
          <w:ilvl w:val="0"/>
          <w:numId w:val="13"/>
        </w:numPr>
        <w:tabs>
          <w:tab w:val="clear" w:pos="850"/>
        </w:tabs>
        <w:ind w:left="360" w:hanging="360"/>
        <w:rPr>
          <w:rFonts w:asciiTheme="minorHAnsi" w:eastAsia="Times New Roman" w:hAnsiTheme="minorHAnsi" w:cstheme="minorHAnsi"/>
          <w:noProof/>
          <w:sz w:val="22"/>
        </w:rPr>
      </w:pPr>
      <w:r w:rsidRPr="0086255B">
        <w:rPr>
          <w:rFonts w:asciiTheme="minorHAnsi" w:hAnsiTheme="minorHAnsi" w:cstheme="minorHAnsi"/>
          <w:noProof/>
          <w:sz w:val="22"/>
        </w:rPr>
        <w:lastRenderedPageBreak/>
        <w:t xml:space="preserve">Potvrdite da će država članica ispuniti zahtjeve u vezi sa transparentnošću iz tačaka od 58 do 61 CEEAG-a. </w:t>
      </w:r>
    </w:p>
    <w:p w14:paraId="1C202FBA" w14:textId="77777777" w:rsidR="00211F70" w:rsidRPr="0086255B" w:rsidRDefault="00211F70" w:rsidP="00211F70">
      <w:pPr>
        <w:tabs>
          <w:tab w:val="left" w:leader="dot" w:pos="9072"/>
        </w:tabs>
        <w:spacing w:before="120" w:after="120"/>
        <w:jc w:val="both"/>
        <w:rPr>
          <w:rFonts w:cstheme="minorHAnsi"/>
          <w:noProof/>
        </w:rPr>
      </w:pPr>
      <w:r w:rsidRPr="0086255B">
        <w:rPr>
          <w:rFonts w:cstheme="minorHAnsi"/>
          <w:noProof/>
        </w:rPr>
        <w:tab/>
      </w:r>
    </w:p>
    <w:p w14:paraId="19D3B7F5" w14:textId="77777777" w:rsidR="00211F70" w:rsidRPr="0086255B" w:rsidRDefault="00211F70" w:rsidP="00211F70">
      <w:pPr>
        <w:pStyle w:val="NumPar1"/>
        <w:numPr>
          <w:ilvl w:val="0"/>
          <w:numId w:val="13"/>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Navedite link na internet stranice na kojima će biti objavljen pun tekst odluke o dodjeli odobrene šeme pomoći ili individualne pomoći i njenih implementacionih odredbi, kao i informacije o svakoj individualnoj pomoći koja je dodijeljena ad hoc ili u okviru šeme pomoći odobrene na osnovu CEEAG-a čiji iznos prelazi 100 000 EUR. </w:t>
      </w:r>
    </w:p>
    <w:p w14:paraId="6A44ED1F" w14:textId="77777777" w:rsidR="00211F70" w:rsidRPr="0086255B" w:rsidRDefault="00211F70" w:rsidP="00211F70">
      <w:pPr>
        <w:tabs>
          <w:tab w:val="left" w:leader="dot" w:pos="9072"/>
        </w:tabs>
        <w:spacing w:before="120" w:after="120"/>
        <w:jc w:val="both"/>
        <w:rPr>
          <w:rFonts w:cstheme="minorHAnsi"/>
          <w:noProof/>
        </w:rPr>
      </w:pPr>
      <w:bookmarkStart w:id="0" w:name="_Hlk222477796"/>
      <w:r w:rsidRPr="0086255B">
        <w:rPr>
          <w:rFonts w:cstheme="minorHAnsi"/>
          <w:noProof/>
        </w:rPr>
        <w:tab/>
      </w:r>
    </w:p>
    <w:bookmarkEnd w:id="0"/>
    <w:p w14:paraId="7149A429" w14:textId="77777777" w:rsidR="00211F70" w:rsidRPr="0086255B" w:rsidRDefault="00211F70" w:rsidP="00211F70">
      <w:pPr>
        <w:pStyle w:val="Heading2"/>
        <w:keepLines w:val="0"/>
        <w:numPr>
          <w:ilvl w:val="1"/>
          <w:numId w:val="14"/>
        </w:numPr>
        <w:tabs>
          <w:tab w:val="clear" w:pos="850"/>
        </w:tabs>
        <w:spacing w:before="120" w:after="120"/>
        <w:ind w:left="360" w:hanging="360"/>
        <w:rPr>
          <w:rFonts w:asciiTheme="minorHAnsi" w:hAnsiTheme="minorHAnsi" w:cstheme="minorHAnsi"/>
          <w:noProof/>
          <w:color w:val="auto"/>
          <w:sz w:val="22"/>
          <w:szCs w:val="22"/>
        </w:rPr>
      </w:pPr>
      <w:r w:rsidRPr="0086255B">
        <w:rPr>
          <w:rFonts w:asciiTheme="minorHAnsi" w:hAnsiTheme="minorHAnsi" w:cstheme="minorHAnsi"/>
          <w:noProof/>
          <w:color w:val="auto"/>
          <w:sz w:val="22"/>
          <w:szCs w:val="22"/>
        </w:rPr>
        <w:t xml:space="preserve"> Izbjegavanje nepotrebnih negativnih efekata na konkurenciju i trgovinu i balansiranje i postizanje ravnoteže</w:t>
      </w:r>
    </w:p>
    <w:p w14:paraId="312BBA4C" w14:textId="77777777" w:rsidR="00211F70" w:rsidRPr="0086255B" w:rsidRDefault="00211F70" w:rsidP="00211F70">
      <w:pPr>
        <w:spacing w:before="120" w:after="120"/>
        <w:jc w:val="both"/>
        <w:rPr>
          <w:rFonts w:cstheme="minorHAnsi"/>
          <w:i/>
          <w:noProof/>
        </w:rPr>
      </w:pPr>
      <w:r w:rsidRPr="0086255B">
        <w:rPr>
          <w:rFonts w:cstheme="minorHAnsi"/>
          <w:i/>
          <w:noProof/>
        </w:rPr>
        <w:t xml:space="preserve">Za unos podataka u ovom odjeljku vidjeti odjeljke 4.8.5. (tačke od 359 do 370) i 3.3. (tačke od 71 do 76) CEEAG-a. </w:t>
      </w:r>
    </w:p>
    <w:p w14:paraId="7596C3C2" w14:textId="77777777" w:rsidR="00211F70" w:rsidRPr="0086255B" w:rsidRDefault="00211F70" w:rsidP="00211F70">
      <w:pPr>
        <w:pStyle w:val="NumPar1"/>
        <w:numPr>
          <w:ilvl w:val="0"/>
          <w:numId w:val="13"/>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se dokazala usklađenost sa tačkama 359, 360 i 361 CEEAG-a:</w:t>
      </w:r>
    </w:p>
    <w:p w14:paraId="33E0D4A0" w14:textId="77777777" w:rsidR="00211F70" w:rsidRPr="0086255B" w:rsidRDefault="00211F70" w:rsidP="00211F70">
      <w:pPr>
        <w:pStyle w:val="NumPar1"/>
        <w:numPr>
          <w:ilvl w:val="0"/>
          <w:numId w:val="10"/>
        </w:numPr>
        <w:rPr>
          <w:rFonts w:asciiTheme="minorHAnsi" w:hAnsiTheme="minorHAnsi" w:cstheme="minorHAnsi"/>
          <w:noProof/>
          <w:sz w:val="22"/>
        </w:rPr>
      </w:pPr>
      <w:r w:rsidRPr="0086255B">
        <w:rPr>
          <w:rFonts w:asciiTheme="minorHAnsi" w:hAnsiTheme="minorHAnsi" w:cstheme="minorHAnsi"/>
          <w:noProof/>
          <w:sz w:val="22"/>
        </w:rPr>
        <w:t>dokažite (ukoliko to već nije dostavljeno u odgovoru na pitanje 23 iznad) da je pomoć osmišljena tako da očuva efikasno funkcionisanje tržišta i zadrži podsticaje za efikasno poslovanje i pravilne cjenovne signale;</w:t>
      </w:r>
    </w:p>
    <w:p w14:paraId="5349CE5F" w14:textId="77777777" w:rsidR="00211F70" w:rsidRPr="0086255B" w:rsidRDefault="00211F70" w:rsidP="00211F70">
      <w:pPr>
        <w:tabs>
          <w:tab w:val="left" w:leader="dot" w:pos="9072"/>
        </w:tabs>
        <w:spacing w:before="120" w:after="120"/>
        <w:jc w:val="both"/>
        <w:rPr>
          <w:rFonts w:cstheme="minorHAnsi"/>
          <w:noProof/>
        </w:rPr>
      </w:pPr>
      <w:r w:rsidRPr="0086255B">
        <w:rPr>
          <w:rFonts w:cstheme="minorHAnsi"/>
          <w:noProof/>
        </w:rPr>
        <w:tab/>
      </w:r>
    </w:p>
    <w:p w14:paraId="517F00F5" w14:textId="77777777" w:rsidR="00211F70" w:rsidRPr="0086255B" w:rsidRDefault="00211F70" w:rsidP="00211F70">
      <w:pPr>
        <w:pStyle w:val="NumPar1"/>
        <w:numPr>
          <w:ilvl w:val="0"/>
          <w:numId w:val="10"/>
        </w:numPr>
        <w:rPr>
          <w:rFonts w:asciiTheme="minorHAnsi" w:hAnsiTheme="minorHAnsi" w:cstheme="minorHAnsi"/>
          <w:noProof/>
          <w:sz w:val="22"/>
        </w:rPr>
      </w:pPr>
      <w:r w:rsidRPr="0086255B">
        <w:rPr>
          <w:rFonts w:asciiTheme="minorHAnsi" w:hAnsiTheme="minorHAnsi" w:cstheme="minorHAnsi"/>
          <w:noProof/>
          <w:sz w:val="22"/>
        </w:rPr>
        <w:t>potvrdite da ne postoje podsticaji za proizvodnju energije koja bi istisnula manje zagađujuće oblike energije;</w:t>
      </w:r>
    </w:p>
    <w:p w14:paraId="105486CE" w14:textId="77777777" w:rsidR="00211F70" w:rsidRPr="0086255B" w:rsidRDefault="00211F70" w:rsidP="00211F70">
      <w:pPr>
        <w:tabs>
          <w:tab w:val="left" w:leader="dot" w:pos="9072"/>
        </w:tabs>
        <w:spacing w:before="120" w:after="120"/>
        <w:jc w:val="both"/>
        <w:rPr>
          <w:rFonts w:cstheme="minorHAnsi"/>
          <w:noProof/>
        </w:rPr>
      </w:pPr>
      <w:r w:rsidRPr="0086255B">
        <w:rPr>
          <w:rFonts w:cstheme="minorHAnsi"/>
          <w:noProof/>
        </w:rPr>
        <w:tab/>
      </w:r>
    </w:p>
    <w:p w14:paraId="15C45179" w14:textId="77777777" w:rsidR="00211F70" w:rsidRPr="0086255B" w:rsidRDefault="00211F70" w:rsidP="00211F70">
      <w:pPr>
        <w:pStyle w:val="NumPar1"/>
        <w:numPr>
          <w:ilvl w:val="0"/>
          <w:numId w:val="10"/>
        </w:numPr>
        <w:rPr>
          <w:rFonts w:asciiTheme="minorHAnsi" w:hAnsiTheme="minorHAnsi" w:cstheme="minorHAnsi"/>
          <w:noProof/>
          <w:sz w:val="22"/>
        </w:rPr>
      </w:pPr>
      <w:r w:rsidRPr="0086255B">
        <w:rPr>
          <w:rFonts w:asciiTheme="minorHAnsi" w:hAnsiTheme="minorHAnsi" w:cstheme="minorHAnsi"/>
          <w:noProof/>
          <w:sz w:val="22"/>
        </w:rPr>
        <w:t>navedite da li se mjerom plaća kapacitet (EUR po megavatu (MW)) ili proizvedena električna energija (EUR/MWh).</w:t>
      </w:r>
    </w:p>
    <w:p w14:paraId="2776511F" w14:textId="77777777" w:rsidR="00211F70" w:rsidRPr="0086255B" w:rsidRDefault="00211F70" w:rsidP="00211F70">
      <w:pPr>
        <w:tabs>
          <w:tab w:val="left" w:leader="dot" w:pos="9072"/>
        </w:tabs>
        <w:spacing w:before="120" w:after="120"/>
        <w:jc w:val="both"/>
        <w:rPr>
          <w:rFonts w:cstheme="minorHAnsi"/>
          <w:noProof/>
        </w:rPr>
      </w:pPr>
      <w:r w:rsidRPr="0086255B">
        <w:rPr>
          <w:rFonts w:cstheme="minorHAnsi"/>
          <w:noProof/>
        </w:rPr>
        <w:tab/>
      </w:r>
    </w:p>
    <w:p w14:paraId="0112D4A7" w14:textId="77777777" w:rsidR="00211F70" w:rsidRPr="0086255B" w:rsidRDefault="00211F70" w:rsidP="00211F70">
      <w:pPr>
        <w:pStyle w:val="NumPar1"/>
        <w:numPr>
          <w:ilvl w:val="0"/>
          <w:numId w:val="13"/>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Dostavite dokaze da mjera ispunjava sve primjenjive uslove osmišljavanja iz člana 22 Regulative (EU) 2019/943 (tačka 362 CEEAG-a).</w:t>
      </w:r>
    </w:p>
    <w:p w14:paraId="4A74BB99" w14:textId="77777777" w:rsidR="00211F70" w:rsidRPr="0086255B" w:rsidRDefault="00211F70" w:rsidP="00211F70">
      <w:pPr>
        <w:tabs>
          <w:tab w:val="left" w:leader="dot" w:pos="9072"/>
        </w:tabs>
        <w:spacing w:before="120" w:after="120"/>
        <w:jc w:val="both"/>
        <w:rPr>
          <w:rFonts w:cstheme="minorHAnsi"/>
          <w:noProof/>
        </w:rPr>
      </w:pPr>
      <w:r w:rsidRPr="0086255B">
        <w:rPr>
          <w:rFonts w:cstheme="minorHAnsi"/>
          <w:noProof/>
        </w:rPr>
        <w:tab/>
      </w:r>
    </w:p>
    <w:p w14:paraId="7B4DA782" w14:textId="77777777" w:rsidR="00211F70" w:rsidRPr="0086255B" w:rsidRDefault="00211F70" w:rsidP="00211F70">
      <w:pPr>
        <w:pStyle w:val="NumPar1"/>
        <w:numPr>
          <w:ilvl w:val="0"/>
          <w:numId w:val="13"/>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Za strateške rezerve i sve druge mjere za obezbjeđenje adekvatnosti resursa, uključujući šeme prekidivosti, kod kojih se kapacitet drži van tržišta, radi obezbjeđenja da se ne naruši formiranje tržišnih cijena, dokažite, u skladu sa tačkom 363 CEEAG-a, da su ispunjeni sljedeći kumulativni uslovi:</w:t>
      </w:r>
    </w:p>
    <w:p w14:paraId="6D20241B" w14:textId="77777777" w:rsidR="00211F70" w:rsidRPr="0086255B" w:rsidRDefault="00211F70" w:rsidP="00211F70">
      <w:pPr>
        <w:pStyle w:val="NumPar1"/>
        <w:numPr>
          <w:ilvl w:val="0"/>
          <w:numId w:val="11"/>
        </w:numPr>
        <w:rPr>
          <w:rFonts w:asciiTheme="minorHAnsi" w:hAnsiTheme="minorHAnsi" w:cstheme="minorHAnsi"/>
          <w:noProof/>
          <w:sz w:val="22"/>
        </w:rPr>
      </w:pPr>
      <w:r w:rsidRPr="0086255B">
        <w:rPr>
          <w:rFonts w:asciiTheme="minorHAnsi" w:hAnsiTheme="minorHAnsi" w:cstheme="minorHAnsi"/>
          <w:noProof/>
          <w:sz w:val="22"/>
        </w:rPr>
        <w:t>resursi obuhvaćeni mjerom aktiviraju se isključivo ako operatori prenosnog sistema vjerovatno iscrpe svoje balansne resurse radi uspostavljanja ravnoteže između ponude i tražnje;</w:t>
      </w:r>
    </w:p>
    <w:p w14:paraId="0515FFA5" w14:textId="77777777" w:rsidR="00211F70" w:rsidRPr="0086255B" w:rsidRDefault="00211F70" w:rsidP="00211F70">
      <w:pPr>
        <w:tabs>
          <w:tab w:val="left" w:leader="dot" w:pos="9072"/>
        </w:tabs>
        <w:spacing w:before="120" w:after="120"/>
        <w:jc w:val="both"/>
        <w:rPr>
          <w:rFonts w:cstheme="minorHAnsi"/>
          <w:noProof/>
        </w:rPr>
      </w:pPr>
      <w:r w:rsidRPr="0086255B">
        <w:rPr>
          <w:rFonts w:cstheme="minorHAnsi"/>
          <w:noProof/>
        </w:rPr>
        <w:tab/>
      </w:r>
    </w:p>
    <w:p w14:paraId="37FD1CB5" w14:textId="77777777" w:rsidR="00211F70" w:rsidRPr="0086255B" w:rsidRDefault="00211F70" w:rsidP="00211F70">
      <w:pPr>
        <w:pStyle w:val="NumPar1"/>
        <w:numPr>
          <w:ilvl w:val="0"/>
          <w:numId w:val="11"/>
        </w:numPr>
        <w:rPr>
          <w:rFonts w:asciiTheme="minorHAnsi" w:hAnsiTheme="minorHAnsi" w:cstheme="minorHAnsi"/>
          <w:noProof/>
          <w:sz w:val="22"/>
        </w:rPr>
      </w:pPr>
      <w:r w:rsidRPr="0086255B">
        <w:rPr>
          <w:rFonts w:asciiTheme="minorHAnsi" w:hAnsiTheme="minorHAnsi" w:cstheme="minorHAnsi"/>
          <w:noProof/>
          <w:sz w:val="22"/>
        </w:rPr>
        <w:t>tokom obračunskih perioda neravnoteže u kojima se aktiviraju resursi obuhvaćeni mjerom, neravnoteže na tržištu se obračunavaju najmanje po vrijednosti gubitka usled prekida (VOLL vrijednosti) ili po vrijednosti višoj od tehničkog ograničenja cijene u toku dana, u zavisnosti koja je viša;</w:t>
      </w:r>
    </w:p>
    <w:p w14:paraId="04431556" w14:textId="77777777" w:rsidR="00211F70" w:rsidRPr="0086255B" w:rsidRDefault="00211F70" w:rsidP="00211F70">
      <w:pPr>
        <w:tabs>
          <w:tab w:val="left" w:leader="dot" w:pos="9072"/>
        </w:tabs>
        <w:spacing w:before="120" w:after="120"/>
        <w:jc w:val="both"/>
        <w:rPr>
          <w:rFonts w:cstheme="minorHAnsi"/>
          <w:noProof/>
        </w:rPr>
      </w:pPr>
      <w:r w:rsidRPr="0086255B">
        <w:rPr>
          <w:rFonts w:cstheme="minorHAnsi"/>
          <w:noProof/>
        </w:rPr>
        <w:tab/>
      </w:r>
    </w:p>
    <w:p w14:paraId="1C9645F5" w14:textId="77777777" w:rsidR="00211F70" w:rsidRPr="0086255B" w:rsidRDefault="00211F70" w:rsidP="00211F70">
      <w:pPr>
        <w:pStyle w:val="NumPar1"/>
        <w:numPr>
          <w:ilvl w:val="0"/>
          <w:numId w:val="11"/>
        </w:numPr>
        <w:rPr>
          <w:rFonts w:asciiTheme="minorHAnsi" w:hAnsiTheme="minorHAnsi" w:cstheme="minorHAnsi"/>
          <w:noProof/>
          <w:sz w:val="22"/>
        </w:rPr>
      </w:pPr>
      <w:r w:rsidRPr="0086255B">
        <w:rPr>
          <w:rFonts w:asciiTheme="minorHAnsi" w:hAnsiTheme="minorHAnsi" w:cstheme="minorHAnsi"/>
          <w:noProof/>
          <w:sz w:val="22"/>
        </w:rPr>
        <w:t>proizvodnja iz mjere nakon aktiviranja pripisuje se subjektima odgovornim za balans putem mehanizma obračuna neravnoteža;</w:t>
      </w:r>
    </w:p>
    <w:p w14:paraId="4C0686F1" w14:textId="77777777" w:rsidR="00211F70" w:rsidRPr="0086255B" w:rsidRDefault="00211F70" w:rsidP="00211F70">
      <w:pPr>
        <w:tabs>
          <w:tab w:val="left" w:leader="dot" w:pos="9072"/>
        </w:tabs>
        <w:spacing w:before="120" w:after="120"/>
        <w:jc w:val="both"/>
        <w:rPr>
          <w:rFonts w:cstheme="minorHAnsi"/>
          <w:noProof/>
        </w:rPr>
      </w:pPr>
      <w:r w:rsidRPr="0086255B">
        <w:rPr>
          <w:rFonts w:cstheme="minorHAnsi"/>
          <w:noProof/>
        </w:rPr>
        <w:lastRenderedPageBreak/>
        <w:tab/>
      </w:r>
    </w:p>
    <w:p w14:paraId="3173BB92" w14:textId="77777777" w:rsidR="00211F70" w:rsidRPr="0086255B" w:rsidRDefault="00211F70" w:rsidP="00211F70">
      <w:pPr>
        <w:pStyle w:val="NumPar1"/>
        <w:numPr>
          <w:ilvl w:val="0"/>
          <w:numId w:val="11"/>
        </w:numPr>
        <w:rPr>
          <w:rFonts w:asciiTheme="minorHAnsi" w:hAnsiTheme="minorHAnsi" w:cstheme="minorHAnsi"/>
          <w:noProof/>
          <w:sz w:val="22"/>
        </w:rPr>
      </w:pPr>
      <w:r w:rsidRPr="0086255B">
        <w:rPr>
          <w:rFonts w:asciiTheme="minorHAnsi" w:hAnsiTheme="minorHAnsi" w:cstheme="minorHAnsi"/>
          <w:noProof/>
          <w:sz w:val="22"/>
        </w:rPr>
        <w:t>resursi ne primaju naknadu sa veleprodajnog tržišta električne energije niti sa balansnih tržišta;</w:t>
      </w:r>
    </w:p>
    <w:p w14:paraId="3FEF98B8" w14:textId="77777777" w:rsidR="00211F70" w:rsidRPr="0086255B" w:rsidRDefault="00211F70" w:rsidP="00211F70">
      <w:pPr>
        <w:tabs>
          <w:tab w:val="left" w:leader="dot" w:pos="9072"/>
        </w:tabs>
        <w:spacing w:before="120" w:after="120"/>
        <w:jc w:val="both"/>
        <w:rPr>
          <w:rFonts w:cstheme="minorHAnsi"/>
          <w:noProof/>
        </w:rPr>
      </w:pPr>
      <w:r w:rsidRPr="0086255B">
        <w:rPr>
          <w:rFonts w:cstheme="minorHAnsi"/>
          <w:noProof/>
        </w:rPr>
        <w:tab/>
      </w:r>
    </w:p>
    <w:p w14:paraId="65C2AC06" w14:textId="77777777" w:rsidR="00211F70" w:rsidRPr="0086255B" w:rsidRDefault="00211F70" w:rsidP="00211F70">
      <w:pPr>
        <w:pStyle w:val="NumPar1"/>
        <w:numPr>
          <w:ilvl w:val="0"/>
          <w:numId w:val="11"/>
        </w:numPr>
        <w:rPr>
          <w:rFonts w:asciiTheme="minorHAnsi" w:hAnsiTheme="minorHAnsi" w:cstheme="minorHAnsi"/>
          <w:noProof/>
          <w:sz w:val="22"/>
        </w:rPr>
      </w:pPr>
      <w:r w:rsidRPr="0086255B">
        <w:rPr>
          <w:rFonts w:asciiTheme="minorHAnsi" w:hAnsiTheme="minorHAnsi" w:cstheme="minorHAnsi"/>
          <w:noProof/>
          <w:sz w:val="22"/>
        </w:rPr>
        <w:t>resursi obuhvaćeni mjerom drže se van energetskih tržišta najmanje tokom trajanja ugovornog perioda.</w:t>
      </w:r>
    </w:p>
    <w:p w14:paraId="784E5292" w14:textId="77777777" w:rsidR="00211F70" w:rsidRPr="0086255B" w:rsidRDefault="00211F70" w:rsidP="00211F70">
      <w:pPr>
        <w:tabs>
          <w:tab w:val="left" w:leader="dot" w:pos="9072"/>
        </w:tabs>
        <w:spacing w:before="120" w:after="120"/>
        <w:jc w:val="both"/>
        <w:rPr>
          <w:rFonts w:cstheme="minorHAnsi"/>
          <w:noProof/>
        </w:rPr>
      </w:pPr>
      <w:r w:rsidRPr="0086255B">
        <w:rPr>
          <w:rFonts w:cstheme="minorHAnsi"/>
          <w:noProof/>
        </w:rPr>
        <w:tab/>
      </w:r>
    </w:p>
    <w:p w14:paraId="6FC2968F" w14:textId="77777777" w:rsidR="00211F70" w:rsidRPr="0086255B" w:rsidRDefault="00211F70" w:rsidP="00211F70">
      <w:pPr>
        <w:pStyle w:val="NumPar1"/>
        <w:numPr>
          <w:ilvl w:val="0"/>
          <w:numId w:val="13"/>
        </w:numPr>
        <w:tabs>
          <w:tab w:val="clear" w:pos="850"/>
        </w:tabs>
        <w:ind w:left="360" w:hanging="360"/>
        <w:rPr>
          <w:rFonts w:asciiTheme="minorHAnsi" w:hAnsiTheme="minorHAnsi" w:cstheme="minorHAnsi"/>
          <w:sz w:val="22"/>
          <w:lang w:val="en-US"/>
        </w:rPr>
      </w:pPr>
      <w:r w:rsidRPr="0086255B">
        <w:rPr>
          <w:rFonts w:asciiTheme="minorHAnsi" w:hAnsiTheme="minorHAnsi" w:cstheme="minorHAnsi"/>
          <w:sz w:val="22"/>
        </w:rPr>
        <w:t xml:space="preserve">Za </w:t>
      </w:r>
      <w:proofErr w:type="spellStart"/>
      <w:r w:rsidRPr="0086255B">
        <w:rPr>
          <w:rFonts w:asciiTheme="minorHAnsi" w:hAnsiTheme="minorHAnsi" w:cstheme="minorHAnsi"/>
          <w:sz w:val="22"/>
        </w:rPr>
        <w:t>mjere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upravljanja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zagušenjima</w:t>
      </w:r>
      <w:proofErr w:type="spellEnd"/>
      <w:r w:rsidRPr="0086255B">
        <w:rPr>
          <w:rFonts w:asciiTheme="minorHAnsi" w:hAnsiTheme="minorHAnsi" w:cstheme="minorHAnsi"/>
          <w:sz w:val="22"/>
        </w:rPr>
        <w:t xml:space="preserve"> u </w:t>
      </w:r>
      <w:proofErr w:type="spellStart"/>
      <w:r w:rsidRPr="0086255B">
        <w:rPr>
          <w:rFonts w:asciiTheme="minorHAnsi" w:hAnsiTheme="minorHAnsi" w:cstheme="minorHAnsi"/>
          <w:sz w:val="22"/>
        </w:rPr>
        <w:t>mreži</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kod</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kojih</w:t>
      </w:r>
      <w:proofErr w:type="spellEnd"/>
      <w:r w:rsidRPr="0086255B">
        <w:rPr>
          <w:rFonts w:asciiTheme="minorHAnsi" w:hAnsiTheme="minorHAnsi" w:cstheme="minorHAnsi"/>
          <w:sz w:val="22"/>
        </w:rPr>
        <w:t xml:space="preserve"> se </w:t>
      </w:r>
      <w:proofErr w:type="spellStart"/>
      <w:r w:rsidRPr="0086255B">
        <w:rPr>
          <w:rFonts w:asciiTheme="minorHAnsi" w:hAnsiTheme="minorHAnsi" w:cstheme="minorHAnsi"/>
          <w:sz w:val="22"/>
        </w:rPr>
        <w:t>resursi</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drže</w:t>
      </w:r>
      <w:proofErr w:type="spellEnd"/>
      <w:r w:rsidRPr="0086255B">
        <w:rPr>
          <w:rFonts w:asciiTheme="minorHAnsi" w:hAnsiTheme="minorHAnsi" w:cstheme="minorHAnsi"/>
          <w:sz w:val="22"/>
        </w:rPr>
        <w:t xml:space="preserve"> van </w:t>
      </w:r>
      <w:proofErr w:type="spellStart"/>
      <w:r w:rsidRPr="0086255B">
        <w:rPr>
          <w:rFonts w:asciiTheme="minorHAnsi" w:hAnsiTheme="minorHAnsi" w:cstheme="minorHAnsi"/>
          <w:sz w:val="22"/>
        </w:rPr>
        <w:t>tržišta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potvrdite</w:t>
      </w:r>
      <w:proofErr w:type="spellEnd"/>
      <w:r w:rsidRPr="0086255B">
        <w:rPr>
          <w:rFonts w:asciiTheme="minorHAnsi" w:hAnsiTheme="minorHAnsi" w:cstheme="minorHAnsi"/>
          <w:sz w:val="22"/>
        </w:rPr>
        <w:t xml:space="preserve"> da </w:t>
      </w:r>
      <w:proofErr w:type="spellStart"/>
      <w:r w:rsidRPr="0086255B">
        <w:rPr>
          <w:rFonts w:asciiTheme="minorHAnsi" w:hAnsiTheme="minorHAnsi" w:cstheme="minorHAnsi"/>
          <w:sz w:val="22"/>
        </w:rPr>
        <w:t>ti</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resursi</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neće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primati</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naknadu</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sa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veleprodajnog</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tržišta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električne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energije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niti</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sa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balansnih</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tržišta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kao</w:t>
      </w:r>
      <w:proofErr w:type="spellEnd"/>
      <w:r w:rsidRPr="0086255B">
        <w:rPr>
          <w:rFonts w:asciiTheme="minorHAnsi" w:hAnsiTheme="minorHAnsi" w:cstheme="minorHAnsi"/>
          <w:sz w:val="22"/>
        </w:rPr>
        <w:t xml:space="preserve"> i da </w:t>
      </w:r>
      <w:proofErr w:type="spellStart"/>
      <w:r w:rsidRPr="0086255B">
        <w:rPr>
          <w:rFonts w:asciiTheme="minorHAnsi" w:hAnsiTheme="minorHAnsi" w:cstheme="minorHAnsi"/>
          <w:sz w:val="22"/>
        </w:rPr>
        <w:t>će</w:t>
      </w:r>
      <w:proofErr w:type="spellEnd"/>
      <w:r w:rsidRPr="0086255B">
        <w:rPr>
          <w:rFonts w:asciiTheme="minorHAnsi" w:hAnsiTheme="minorHAnsi" w:cstheme="minorHAnsi"/>
          <w:sz w:val="22"/>
        </w:rPr>
        <w:t xml:space="preserve"> se </w:t>
      </w:r>
      <w:proofErr w:type="spellStart"/>
      <w:r w:rsidRPr="0086255B">
        <w:rPr>
          <w:rFonts w:asciiTheme="minorHAnsi" w:hAnsiTheme="minorHAnsi" w:cstheme="minorHAnsi"/>
          <w:sz w:val="22"/>
        </w:rPr>
        <w:t>držati</w:t>
      </w:r>
      <w:proofErr w:type="spellEnd"/>
      <w:r w:rsidRPr="0086255B">
        <w:rPr>
          <w:rFonts w:asciiTheme="minorHAnsi" w:hAnsiTheme="minorHAnsi" w:cstheme="minorHAnsi"/>
          <w:sz w:val="22"/>
        </w:rPr>
        <w:t xml:space="preserve"> van </w:t>
      </w:r>
      <w:proofErr w:type="spellStart"/>
      <w:r w:rsidRPr="0086255B">
        <w:rPr>
          <w:rFonts w:asciiTheme="minorHAnsi" w:hAnsiTheme="minorHAnsi" w:cstheme="minorHAnsi"/>
          <w:sz w:val="22"/>
        </w:rPr>
        <w:t>energetskih</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tržišta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najmanje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tokom</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trajanja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ugovornog</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perioda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tačka</w:t>
      </w:r>
      <w:proofErr w:type="spellEnd"/>
      <w:r w:rsidRPr="0086255B">
        <w:rPr>
          <w:rFonts w:asciiTheme="minorHAnsi" w:hAnsiTheme="minorHAnsi" w:cstheme="minorHAnsi"/>
          <w:sz w:val="22"/>
        </w:rPr>
        <w:t xml:space="preserve"> 364 CEEAG-a).</w:t>
      </w:r>
    </w:p>
    <w:p w14:paraId="1716DEF8" w14:textId="77777777" w:rsidR="00211F70" w:rsidRPr="0086255B" w:rsidRDefault="00211F70" w:rsidP="00211F70">
      <w:pPr>
        <w:tabs>
          <w:tab w:val="left" w:leader="dot" w:pos="9072"/>
        </w:tabs>
        <w:spacing w:before="120" w:after="120"/>
        <w:jc w:val="both"/>
        <w:rPr>
          <w:rFonts w:cstheme="minorHAnsi"/>
          <w:noProof/>
        </w:rPr>
      </w:pPr>
      <w:r w:rsidRPr="0086255B">
        <w:rPr>
          <w:rFonts w:cstheme="minorHAnsi"/>
          <w:noProof/>
        </w:rPr>
        <w:tab/>
      </w:r>
    </w:p>
    <w:p w14:paraId="63747CAD" w14:textId="77777777" w:rsidR="00211F70" w:rsidRPr="0086255B" w:rsidRDefault="00211F70" w:rsidP="00211F70">
      <w:pPr>
        <w:pStyle w:val="NumPar1"/>
        <w:numPr>
          <w:ilvl w:val="0"/>
          <w:numId w:val="13"/>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Za mehanizme za razvoj kapaciteta koji nisu strateške rezerve, dokažite, u skladu sa tačkom 365 CEEAG-a, da mjera:</w:t>
      </w:r>
    </w:p>
    <w:p w14:paraId="06DFD59D" w14:textId="77777777" w:rsidR="00211F70" w:rsidRPr="0086255B" w:rsidRDefault="00211F70" w:rsidP="00211F70">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ima takvu strukturu da cijena koja se plaća za raspoloživost automatski teži ka nuli kada se očekuje da je nivo ponuđenog kapaciteta dovoljan za zadovoljenje traženog nivoa kapaciteta;</w:t>
      </w:r>
    </w:p>
    <w:p w14:paraId="54129691" w14:textId="77777777" w:rsidR="00211F70" w:rsidRPr="0086255B" w:rsidRDefault="00211F70" w:rsidP="00211F70">
      <w:pPr>
        <w:tabs>
          <w:tab w:val="left" w:leader="dot" w:pos="9072"/>
        </w:tabs>
        <w:spacing w:before="120" w:after="120"/>
        <w:jc w:val="both"/>
        <w:rPr>
          <w:rFonts w:cstheme="minorHAnsi"/>
          <w:noProof/>
        </w:rPr>
      </w:pPr>
      <w:r w:rsidRPr="0086255B">
        <w:rPr>
          <w:rFonts w:cstheme="minorHAnsi"/>
          <w:noProof/>
        </w:rPr>
        <w:tab/>
      </w:r>
    </w:p>
    <w:p w14:paraId="68270ACC" w14:textId="77777777" w:rsidR="00211F70" w:rsidRPr="0086255B" w:rsidRDefault="00211F70" w:rsidP="00211F70">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nadoknađuje učesnicima isključivo raspoloživost kapaciteta i obezbjeđuje da naknada ne utiče na odluke pružaoca kapaciteta o tome da li će proizvoditi ili ne;</w:t>
      </w:r>
    </w:p>
    <w:p w14:paraId="3CD610F2" w14:textId="77777777" w:rsidR="00211F70" w:rsidRPr="0086255B" w:rsidRDefault="00211F70" w:rsidP="00211F70">
      <w:pPr>
        <w:tabs>
          <w:tab w:val="left" w:leader="dot" w:pos="9072"/>
        </w:tabs>
        <w:spacing w:before="120" w:after="120"/>
        <w:jc w:val="both"/>
        <w:rPr>
          <w:rFonts w:cstheme="minorHAnsi"/>
          <w:noProof/>
        </w:rPr>
      </w:pPr>
      <w:r w:rsidRPr="0086255B">
        <w:rPr>
          <w:rFonts w:cstheme="minorHAnsi"/>
          <w:noProof/>
        </w:rPr>
        <w:tab/>
      </w:r>
    </w:p>
    <w:p w14:paraId="7B54EFC6" w14:textId="77777777" w:rsidR="00211F70" w:rsidRPr="0086255B" w:rsidRDefault="00211F70" w:rsidP="00211F70">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omogućava prenos obaveza u vezi sa kapacitetom između prihvatljivih pružalaca kapaciteta.</w:t>
      </w:r>
    </w:p>
    <w:p w14:paraId="047F734C" w14:textId="77777777" w:rsidR="00211F70" w:rsidRPr="0086255B" w:rsidRDefault="00211F70" w:rsidP="00211F70">
      <w:pPr>
        <w:tabs>
          <w:tab w:val="left" w:leader="dot" w:pos="9072"/>
        </w:tabs>
        <w:spacing w:before="120" w:after="120"/>
        <w:jc w:val="both"/>
        <w:rPr>
          <w:rFonts w:cstheme="minorHAnsi"/>
          <w:noProof/>
        </w:rPr>
      </w:pPr>
      <w:r w:rsidRPr="0086255B">
        <w:rPr>
          <w:rFonts w:cstheme="minorHAnsi"/>
          <w:noProof/>
        </w:rPr>
        <w:tab/>
      </w:r>
    </w:p>
    <w:p w14:paraId="2876E189" w14:textId="77777777" w:rsidR="00211F70" w:rsidRPr="0086255B" w:rsidRDefault="00211F70" w:rsidP="00211F70">
      <w:pPr>
        <w:pStyle w:val="NumPar1"/>
        <w:numPr>
          <w:ilvl w:val="0"/>
          <w:numId w:val="13"/>
        </w:numPr>
        <w:ind w:left="360" w:hanging="360"/>
        <w:rPr>
          <w:rFonts w:asciiTheme="minorHAnsi" w:hAnsiTheme="minorHAnsi" w:cstheme="minorHAnsi"/>
          <w:noProof/>
          <w:sz w:val="22"/>
        </w:rPr>
      </w:pPr>
      <w:r w:rsidRPr="0086255B">
        <w:rPr>
          <w:rFonts w:asciiTheme="minorHAnsi" w:hAnsiTheme="minorHAnsi" w:cstheme="minorHAnsi"/>
          <w:noProof/>
          <w:sz w:val="22"/>
        </w:rPr>
        <w:t>Kako be se dokazala usklađenost sa tačkom 366 CEEAG-a, dokažite da mjera neće:</w:t>
      </w:r>
    </w:p>
    <w:p w14:paraId="73B6FDB6" w14:textId="77777777" w:rsidR="00211F70" w:rsidRPr="0086255B" w:rsidRDefault="00211F70" w:rsidP="00211F70">
      <w:pPr>
        <w:pStyle w:val="Point2letter"/>
        <w:ind w:left="720" w:hanging="360"/>
        <w:rPr>
          <w:rFonts w:asciiTheme="minorHAnsi" w:hAnsiTheme="minorHAnsi" w:cstheme="minorHAnsi"/>
          <w:noProof/>
          <w:sz w:val="22"/>
        </w:rPr>
      </w:pPr>
      <w:r w:rsidRPr="0086255B">
        <w:rPr>
          <w:rFonts w:asciiTheme="minorHAnsi" w:hAnsiTheme="minorHAnsi" w:cstheme="minorHAnsi"/>
          <w:noProof/>
          <w:sz w:val="22"/>
        </w:rPr>
        <w:t>stvoriti neopravdane poremećaje tržišta niti ograničiti prekograničnu (međuzonsku) trgovinu;</w:t>
      </w:r>
    </w:p>
    <w:p w14:paraId="4E30311E" w14:textId="77777777" w:rsidR="00211F70" w:rsidRPr="0086255B" w:rsidRDefault="00211F70" w:rsidP="00211F70">
      <w:pPr>
        <w:tabs>
          <w:tab w:val="left" w:leader="dot" w:pos="9072"/>
        </w:tabs>
        <w:spacing w:before="120" w:after="120"/>
        <w:jc w:val="both"/>
        <w:rPr>
          <w:rFonts w:cstheme="minorHAnsi"/>
          <w:noProof/>
        </w:rPr>
      </w:pPr>
      <w:r w:rsidRPr="0086255B">
        <w:rPr>
          <w:rFonts w:cstheme="minorHAnsi"/>
          <w:noProof/>
        </w:rPr>
        <w:tab/>
      </w:r>
    </w:p>
    <w:p w14:paraId="29D92B6F" w14:textId="77777777" w:rsidR="00211F70" w:rsidRPr="0086255B" w:rsidRDefault="00211F70" w:rsidP="00211F70">
      <w:pPr>
        <w:pStyle w:val="Point1letter"/>
        <w:numPr>
          <w:ilvl w:val="3"/>
          <w:numId w:val="12"/>
        </w:numPr>
        <w:ind w:left="720" w:hanging="360"/>
        <w:rPr>
          <w:rFonts w:asciiTheme="minorHAnsi" w:hAnsiTheme="minorHAnsi" w:cstheme="minorHAnsi"/>
          <w:noProof/>
          <w:sz w:val="22"/>
        </w:rPr>
      </w:pPr>
      <w:r w:rsidRPr="0086255B">
        <w:rPr>
          <w:rFonts w:asciiTheme="minorHAnsi" w:hAnsiTheme="minorHAnsi" w:cstheme="minorHAnsi"/>
          <w:noProof/>
          <w:sz w:val="22"/>
        </w:rPr>
        <w:t>smanjiti podsticaje za ulaganje u interkonekcione kapacitete – na primjer, smanjenjem prihoda od zagušenja za postojeće ili nove interkonektore;</w:t>
      </w:r>
    </w:p>
    <w:p w14:paraId="0B640B82" w14:textId="77777777" w:rsidR="00211F70" w:rsidRPr="0086255B" w:rsidRDefault="00211F70" w:rsidP="00211F70">
      <w:pPr>
        <w:tabs>
          <w:tab w:val="left" w:leader="dot" w:pos="9072"/>
        </w:tabs>
        <w:spacing w:before="120" w:after="120"/>
        <w:jc w:val="both"/>
        <w:rPr>
          <w:rFonts w:cstheme="minorHAnsi"/>
          <w:noProof/>
        </w:rPr>
      </w:pPr>
      <w:r w:rsidRPr="0086255B">
        <w:rPr>
          <w:rFonts w:cstheme="minorHAnsi"/>
          <w:noProof/>
        </w:rPr>
        <w:tab/>
      </w:r>
    </w:p>
    <w:p w14:paraId="181A26F6" w14:textId="77777777" w:rsidR="00211F70" w:rsidRPr="0086255B" w:rsidRDefault="00211F70" w:rsidP="00211F70">
      <w:pPr>
        <w:pStyle w:val="Point1letter"/>
        <w:numPr>
          <w:ilvl w:val="3"/>
          <w:numId w:val="12"/>
        </w:numPr>
        <w:ind w:left="720" w:hanging="360"/>
        <w:rPr>
          <w:rFonts w:asciiTheme="minorHAnsi" w:hAnsiTheme="minorHAnsi" w:cstheme="minorHAnsi"/>
          <w:noProof/>
          <w:sz w:val="22"/>
        </w:rPr>
      </w:pPr>
      <w:r w:rsidRPr="0086255B">
        <w:rPr>
          <w:rFonts w:asciiTheme="minorHAnsi" w:hAnsiTheme="minorHAnsi" w:cstheme="minorHAnsi"/>
          <w:noProof/>
          <w:sz w:val="22"/>
        </w:rPr>
        <w:t>narušiti spajanje tržišta, uključujući dnevna i balansna tržišta;</w:t>
      </w:r>
    </w:p>
    <w:p w14:paraId="3E556FB4" w14:textId="77777777" w:rsidR="00211F70" w:rsidRPr="0086255B" w:rsidRDefault="00211F70" w:rsidP="00211F70">
      <w:pPr>
        <w:tabs>
          <w:tab w:val="left" w:leader="dot" w:pos="9072"/>
        </w:tabs>
        <w:spacing w:before="120" w:after="120"/>
        <w:jc w:val="both"/>
        <w:rPr>
          <w:rFonts w:cstheme="minorHAnsi"/>
          <w:noProof/>
        </w:rPr>
      </w:pPr>
      <w:r w:rsidRPr="0086255B">
        <w:rPr>
          <w:rFonts w:cstheme="minorHAnsi"/>
          <w:noProof/>
        </w:rPr>
        <w:tab/>
      </w:r>
    </w:p>
    <w:p w14:paraId="6EAB190A" w14:textId="77777777" w:rsidR="00211F70" w:rsidRPr="0086255B" w:rsidRDefault="00211F70" w:rsidP="00211F70">
      <w:pPr>
        <w:pStyle w:val="Point1letter"/>
        <w:numPr>
          <w:ilvl w:val="3"/>
          <w:numId w:val="12"/>
        </w:numPr>
        <w:ind w:left="720" w:hanging="360"/>
        <w:rPr>
          <w:rFonts w:asciiTheme="minorHAnsi" w:hAnsiTheme="minorHAnsi" w:cstheme="minorHAnsi"/>
          <w:noProof/>
          <w:sz w:val="22"/>
        </w:rPr>
      </w:pPr>
      <w:r w:rsidRPr="0086255B">
        <w:rPr>
          <w:rFonts w:asciiTheme="minorHAnsi" w:hAnsiTheme="minorHAnsi" w:cstheme="minorHAnsi"/>
          <w:noProof/>
          <w:sz w:val="22"/>
        </w:rPr>
        <w:t>narušiti investicione odluke u vezi sa kapacitetima koje su prethodile uvođenju mjere.</w:t>
      </w:r>
    </w:p>
    <w:p w14:paraId="34EC8DDE" w14:textId="77777777" w:rsidR="00211F70" w:rsidRPr="0086255B" w:rsidRDefault="00211F70" w:rsidP="00211F70">
      <w:pPr>
        <w:tabs>
          <w:tab w:val="left" w:leader="dot" w:pos="9072"/>
        </w:tabs>
        <w:spacing w:before="120" w:after="120"/>
        <w:jc w:val="both"/>
        <w:rPr>
          <w:rFonts w:cstheme="minorHAnsi"/>
          <w:noProof/>
        </w:rPr>
      </w:pPr>
      <w:r w:rsidRPr="0086255B">
        <w:rPr>
          <w:rFonts w:cstheme="minorHAnsi"/>
          <w:noProof/>
        </w:rPr>
        <w:tab/>
      </w:r>
    </w:p>
    <w:p w14:paraId="720B5397" w14:textId="77777777" w:rsidR="00211F70" w:rsidRPr="0086255B" w:rsidRDefault="00211F70" w:rsidP="00211F70">
      <w:pPr>
        <w:pStyle w:val="NumPar1"/>
        <w:numPr>
          <w:ilvl w:val="0"/>
          <w:numId w:val="13"/>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se dokazala usklađenost sa tačkom 367 CEEAG-a, dokažite da će troškove prijavljene mjere snositi učesnici na tržištu koji doprinose potrebi za mjerom/mjerama. Ako smatrate da takva raspodjela troškova nije potrebna, objasnite zašto je to slučaj i dostavite dokaze, uključujući dokaze prikupljene u okviru javne rasprave.</w:t>
      </w:r>
      <w:r w:rsidRPr="0086255B">
        <w:rPr>
          <w:rStyle w:val="FootnoteReference"/>
          <w:rFonts w:asciiTheme="minorHAnsi" w:hAnsiTheme="minorHAnsi" w:cstheme="minorHAnsi"/>
          <w:noProof/>
          <w:sz w:val="22"/>
        </w:rPr>
        <w:footnoteReference w:id="7"/>
      </w:r>
      <w:r w:rsidRPr="0086255B">
        <w:rPr>
          <w:rFonts w:asciiTheme="minorHAnsi" w:hAnsiTheme="minorHAnsi" w:cstheme="minorHAnsi"/>
          <w:noProof/>
          <w:sz w:val="22"/>
        </w:rPr>
        <w:t xml:space="preserve"> </w:t>
      </w:r>
    </w:p>
    <w:p w14:paraId="3792AECF" w14:textId="77777777" w:rsidR="00211F70" w:rsidRPr="0086255B" w:rsidRDefault="00211F70" w:rsidP="00211F70">
      <w:pPr>
        <w:tabs>
          <w:tab w:val="left" w:leader="dot" w:pos="9072"/>
        </w:tabs>
        <w:spacing w:before="120" w:after="120"/>
        <w:jc w:val="both"/>
        <w:rPr>
          <w:rFonts w:cstheme="minorHAnsi"/>
          <w:noProof/>
        </w:rPr>
      </w:pPr>
      <w:r w:rsidRPr="0086255B">
        <w:rPr>
          <w:rFonts w:cstheme="minorHAnsi"/>
          <w:noProof/>
        </w:rPr>
        <w:lastRenderedPageBreak/>
        <w:tab/>
      </w:r>
    </w:p>
    <w:p w14:paraId="114904DB" w14:textId="77777777" w:rsidR="00211F70" w:rsidRPr="0086255B" w:rsidRDefault="00211F70" w:rsidP="00211F70">
      <w:pPr>
        <w:pStyle w:val="NumPar1"/>
        <w:numPr>
          <w:ilvl w:val="0"/>
          <w:numId w:val="13"/>
        </w:numPr>
        <w:tabs>
          <w:tab w:val="clear" w:pos="850"/>
        </w:tabs>
        <w:ind w:left="360" w:hanging="360"/>
        <w:rPr>
          <w:rFonts w:asciiTheme="minorHAnsi" w:hAnsiTheme="minorHAnsi" w:cstheme="minorHAnsi"/>
          <w:sz w:val="22"/>
          <w:shd w:val="clear" w:color="auto" w:fill="F8F4F1"/>
        </w:rPr>
      </w:pPr>
      <w:r w:rsidRPr="0086255B">
        <w:rPr>
          <w:rFonts w:asciiTheme="minorHAnsi" w:hAnsiTheme="minorHAnsi" w:cstheme="minorHAnsi"/>
          <w:sz w:val="22"/>
        </w:rPr>
        <w:t xml:space="preserve">U </w:t>
      </w:r>
      <w:proofErr w:type="spellStart"/>
      <w:r w:rsidRPr="0086255B">
        <w:rPr>
          <w:rFonts w:asciiTheme="minorHAnsi" w:hAnsiTheme="minorHAnsi" w:cstheme="minorHAnsi"/>
          <w:sz w:val="22"/>
        </w:rPr>
        <w:t>skladu</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sa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tačkom</w:t>
      </w:r>
      <w:proofErr w:type="spellEnd"/>
      <w:r w:rsidRPr="0086255B">
        <w:rPr>
          <w:rFonts w:asciiTheme="minorHAnsi" w:hAnsiTheme="minorHAnsi" w:cstheme="minorHAnsi"/>
          <w:sz w:val="22"/>
        </w:rPr>
        <w:t xml:space="preserve"> 72 CEEAG-a, </w:t>
      </w:r>
      <w:proofErr w:type="spellStart"/>
      <w:r w:rsidRPr="0086255B">
        <w:rPr>
          <w:rFonts w:asciiTheme="minorHAnsi" w:hAnsiTheme="minorHAnsi" w:cstheme="minorHAnsi"/>
          <w:sz w:val="22"/>
        </w:rPr>
        <w:t>obrazložite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usklađenost</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prijavljene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mjere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sa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kriterijumima</w:t>
      </w:r>
      <w:proofErr w:type="spellEnd"/>
      <w:r w:rsidRPr="0086255B">
        <w:rPr>
          <w:rFonts w:asciiTheme="minorHAnsi" w:hAnsiTheme="minorHAnsi" w:cstheme="minorHAnsi"/>
          <w:sz w:val="22"/>
        </w:rPr>
        <w:t xml:space="preserve"> za </w:t>
      </w:r>
      <w:proofErr w:type="spellStart"/>
      <w:r w:rsidRPr="0086255B">
        <w:rPr>
          <w:rFonts w:asciiTheme="minorHAnsi" w:hAnsiTheme="minorHAnsi" w:cstheme="minorHAnsi"/>
          <w:sz w:val="22"/>
        </w:rPr>
        <w:t>ekološki</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održive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ekonomske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aktivnosti</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iz</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člana</w:t>
      </w:r>
      <w:proofErr w:type="spellEnd"/>
      <w:r w:rsidRPr="0086255B">
        <w:rPr>
          <w:rFonts w:asciiTheme="minorHAnsi" w:hAnsiTheme="minorHAnsi" w:cstheme="minorHAnsi"/>
          <w:sz w:val="22"/>
        </w:rPr>
        <w:t xml:space="preserve"> 3 Regulative (EU) 2020/852 </w:t>
      </w:r>
      <w:proofErr w:type="spellStart"/>
      <w:r w:rsidRPr="0086255B">
        <w:rPr>
          <w:rFonts w:asciiTheme="minorHAnsi" w:hAnsiTheme="minorHAnsi" w:cstheme="minorHAnsi"/>
          <w:sz w:val="22"/>
        </w:rPr>
        <w:t>Evropskog</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parlamenta</w:t>
      </w:r>
      <w:proofErr w:type="spellEnd"/>
      <w:r w:rsidRPr="0086255B">
        <w:rPr>
          <w:rFonts w:asciiTheme="minorHAnsi" w:hAnsiTheme="minorHAnsi" w:cstheme="minorHAnsi"/>
          <w:sz w:val="22"/>
        </w:rPr>
        <w:t xml:space="preserve"> i </w:t>
      </w:r>
      <w:proofErr w:type="spellStart"/>
      <w:r w:rsidRPr="0086255B">
        <w:rPr>
          <w:rFonts w:asciiTheme="minorHAnsi" w:hAnsiTheme="minorHAnsi" w:cstheme="minorHAnsi"/>
          <w:sz w:val="22"/>
        </w:rPr>
        <w:t>Savjeta</w:t>
      </w:r>
      <w:proofErr w:type="spellEnd"/>
      <w:r w:rsidRPr="0086255B">
        <w:rPr>
          <w:rStyle w:val="FootnoteReference"/>
          <w:rFonts w:asciiTheme="minorHAnsi" w:hAnsiTheme="minorHAnsi" w:cstheme="minorHAnsi"/>
          <w:sz w:val="22"/>
        </w:rPr>
        <w:footnoteReference w:id="8"/>
      </w:r>
      <w:r w:rsidRPr="0086255B">
        <w:rPr>
          <w:rFonts w:asciiTheme="minorHAnsi" w:hAnsiTheme="minorHAnsi" w:cstheme="minorHAnsi"/>
          <w:sz w:val="22"/>
        </w:rPr>
        <w:t xml:space="preserve">, </w:t>
      </w:r>
      <w:proofErr w:type="spellStart"/>
      <w:r w:rsidRPr="0086255B">
        <w:rPr>
          <w:rFonts w:asciiTheme="minorHAnsi" w:hAnsiTheme="minorHAnsi" w:cstheme="minorHAnsi"/>
          <w:sz w:val="22"/>
        </w:rPr>
        <w:t>uključujući</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načelo</w:t>
      </w:r>
      <w:proofErr w:type="spellEnd"/>
      <w:r w:rsidRPr="0086255B">
        <w:rPr>
          <w:rFonts w:asciiTheme="minorHAnsi" w:hAnsiTheme="minorHAnsi" w:cstheme="minorHAnsi"/>
          <w:sz w:val="22"/>
        </w:rPr>
        <w:t xml:space="preserve"> „ne </w:t>
      </w:r>
      <w:proofErr w:type="spellStart"/>
      <w:r w:rsidRPr="0086255B">
        <w:rPr>
          <w:rFonts w:asciiTheme="minorHAnsi" w:hAnsiTheme="minorHAnsi" w:cstheme="minorHAnsi"/>
          <w:sz w:val="22"/>
        </w:rPr>
        <w:t>nanosi</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značajnu</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štetu</w:t>
      </w:r>
      <w:proofErr w:type="spellEnd"/>
      <w:r w:rsidRPr="0086255B">
        <w:rPr>
          <w:rStyle w:val="FootnoteReference"/>
          <w:rFonts w:asciiTheme="minorHAnsi" w:hAnsiTheme="minorHAnsi" w:cstheme="minorHAnsi"/>
          <w:sz w:val="22"/>
        </w:rPr>
        <w:footnoteReference w:id="9"/>
      </w:r>
      <w:r w:rsidRPr="0086255B">
        <w:rPr>
          <w:rFonts w:asciiTheme="minorHAnsi" w:hAnsiTheme="minorHAnsi" w:cstheme="minorHAnsi"/>
          <w:sz w:val="22"/>
        </w:rPr>
        <w:t xml:space="preserve">“, </w:t>
      </w:r>
      <w:proofErr w:type="spellStart"/>
      <w:r w:rsidRPr="0086255B">
        <w:rPr>
          <w:rFonts w:asciiTheme="minorHAnsi" w:hAnsiTheme="minorHAnsi" w:cstheme="minorHAnsi"/>
          <w:sz w:val="22"/>
        </w:rPr>
        <w:t>ili</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sa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drugim</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uporedivim</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metodologijama</w:t>
      </w:r>
      <w:proofErr w:type="spellEnd"/>
      <w:r w:rsidRPr="0086255B">
        <w:rPr>
          <w:rFonts w:asciiTheme="minorHAnsi" w:hAnsiTheme="minorHAnsi" w:cstheme="minorHAnsi"/>
          <w:sz w:val="22"/>
        </w:rPr>
        <w:t>.</w:t>
      </w:r>
    </w:p>
    <w:p w14:paraId="394C0E3D" w14:textId="77777777" w:rsidR="00211F70" w:rsidRPr="0086255B" w:rsidRDefault="00211F70" w:rsidP="00211F70">
      <w:pPr>
        <w:tabs>
          <w:tab w:val="left" w:leader="dot" w:pos="9072"/>
        </w:tabs>
        <w:spacing w:after="120"/>
        <w:jc w:val="both"/>
        <w:rPr>
          <w:rFonts w:cstheme="minorHAnsi"/>
          <w:noProof/>
        </w:rPr>
      </w:pPr>
      <w:r w:rsidRPr="0086255B">
        <w:rPr>
          <w:rFonts w:cstheme="minorHAnsi"/>
          <w:noProof/>
        </w:rPr>
        <w:tab/>
      </w:r>
    </w:p>
    <w:p w14:paraId="35CB1B58" w14:textId="77777777" w:rsidR="00211F70" w:rsidRPr="0086255B" w:rsidRDefault="00211F70" w:rsidP="00211F70">
      <w:pPr>
        <w:pStyle w:val="NumPar1"/>
        <w:numPr>
          <w:ilvl w:val="0"/>
          <w:numId w:val="13"/>
        </w:numPr>
        <w:tabs>
          <w:tab w:val="clear" w:pos="850"/>
        </w:tabs>
        <w:ind w:left="360" w:hanging="360"/>
        <w:rPr>
          <w:rFonts w:asciiTheme="minorHAnsi" w:hAnsiTheme="minorHAnsi" w:cstheme="minorHAnsi"/>
          <w:sz w:val="22"/>
          <w:lang w:val="en-US"/>
        </w:rPr>
      </w:pPr>
      <w:r w:rsidRPr="0086255B">
        <w:rPr>
          <w:rFonts w:asciiTheme="minorHAnsi" w:hAnsiTheme="minorHAnsi" w:cstheme="minorHAnsi"/>
          <w:sz w:val="22"/>
          <w:lang w:val="en-US"/>
        </w:rPr>
        <w:t xml:space="preserve">U </w:t>
      </w:r>
      <w:proofErr w:type="spellStart"/>
      <w:r w:rsidRPr="0086255B">
        <w:rPr>
          <w:rFonts w:asciiTheme="minorHAnsi" w:hAnsiTheme="minorHAnsi" w:cstheme="minorHAnsi"/>
          <w:sz w:val="22"/>
          <w:lang w:val="en-US"/>
        </w:rPr>
        <w:t>skladu</w:t>
      </w:r>
      <w:proofErr w:type="spellEnd"/>
      <w:r w:rsidRPr="0086255B">
        <w:rPr>
          <w:rFonts w:asciiTheme="minorHAnsi" w:hAnsiTheme="minorHAnsi" w:cstheme="minorHAnsi"/>
          <w:sz w:val="22"/>
          <w:lang w:val="en-US"/>
        </w:rPr>
        <w:t xml:space="preserve"> </w:t>
      </w:r>
      <w:proofErr w:type="spellStart"/>
      <w:r w:rsidRPr="0086255B">
        <w:rPr>
          <w:rFonts w:asciiTheme="minorHAnsi" w:hAnsiTheme="minorHAnsi" w:cstheme="minorHAnsi"/>
          <w:sz w:val="22"/>
          <w:lang w:val="en-US"/>
        </w:rPr>
        <w:t>sa</w:t>
      </w:r>
      <w:proofErr w:type="spellEnd"/>
      <w:r w:rsidRPr="0086255B">
        <w:rPr>
          <w:rFonts w:asciiTheme="minorHAnsi" w:hAnsiTheme="minorHAnsi" w:cstheme="minorHAnsi"/>
          <w:sz w:val="22"/>
          <w:lang w:val="en-US"/>
        </w:rPr>
        <w:t xml:space="preserve"> </w:t>
      </w:r>
      <w:proofErr w:type="spellStart"/>
      <w:r w:rsidRPr="0086255B">
        <w:rPr>
          <w:rFonts w:asciiTheme="minorHAnsi" w:hAnsiTheme="minorHAnsi" w:cstheme="minorHAnsi"/>
          <w:sz w:val="22"/>
          <w:lang w:val="en-US"/>
        </w:rPr>
        <w:t>tačkom</w:t>
      </w:r>
      <w:proofErr w:type="spellEnd"/>
      <w:r w:rsidRPr="0086255B">
        <w:rPr>
          <w:rFonts w:asciiTheme="minorHAnsi" w:hAnsiTheme="minorHAnsi" w:cstheme="minorHAnsi"/>
          <w:sz w:val="22"/>
          <w:lang w:val="en-US"/>
        </w:rPr>
        <w:t xml:space="preserve"> 75 CEEAG-a, u </w:t>
      </w:r>
      <w:proofErr w:type="spellStart"/>
      <w:r w:rsidRPr="0086255B">
        <w:rPr>
          <w:rFonts w:asciiTheme="minorHAnsi" w:hAnsiTheme="minorHAnsi" w:cstheme="minorHAnsi"/>
          <w:sz w:val="22"/>
          <w:lang w:val="en-US"/>
        </w:rPr>
        <w:t>slučajevima</w:t>
      </w:r>
      <w:proofErr w:type="spellEnd"/>
      <w:r w:rsidRPr="0086255B">
        <w:rPr>
          <w:rFonts w:asciiTheme="minorHAnsi" w:hAnsiTheme="minorHAnsi" w:cstheme="minorHAnsi"/>
          <w:sz w:val="22"/>
          <w:lang w:val="en-US"/>
        </w:rPr>
        <w:t xml:space="preserve"> </w:t>
      </w:r>
      <w:proofErr w:type="spellStart"/>
      <w:r w:rsidRPr="0086255B">
        <w:rPr>
          <w:rFonts w:asciiTheme="minorHAnsi" w:hAnsiTheme="minorHAnsi" w:cstheme="minorHAnsi"/>
          <w:sz w:val="22"/>
          <w:lang w:val="en-US"/>
        </w:rPr>
        <w:t>kada</w:t>
      </w:r>
      <w:proofErr w:type="spellEnd"/>
      <w:r w:rsidRPr="0086255B">
        <w:rPr>
          <w:rFonts w:asciiTheme="minorHAnsi" w:hAnsiTheme="minorHAnsi" w:cstheme="minorHAnsi"/>
          <w:sz w:val="22"/>
          <w:lang w:val="en-US"/>
        </w:rPr>
        <w:t xml:space="preserve"> </w:t>
      </w:r>
      <w:proofErr w:type="spellStart"/>
      <w:r w:rsidRPr="0086255B">
        <w:rPr>
          <w:rFonts w:asciiTheme="minorHAnsi" w:hAnsiTheme="minorHAnsi" w:cstheme="minorHAnsi"/>
          <w:sz w:val="22"/>
          <w:lang w:val="en-US"/>
        </w:rPr>
        <w:t>država</w:t>
      </w:r>
      <w:proofErr w:type="spellEnd"/>
      <w:r w:rsidRPr="0086255B">
        <w:rPr>
          <w:rFonts w:asciiTheme="minorHAnsi" w:hAnsiTheme="minorHAnsi" w:cstheme="minorHAnsi"/>
          <w:sz w:val="22"/>
          <w:lang w:val="en-US"/>
        </w:rPr>
        <w:t xml:space="preserve"> </w:t>
      </w:r>
      <w:proofErr w:type="spellStart"/>
      <w:r w:rsidRPr="0086255B">
        <w:rPr>
          <w:rFonts w:asciiTheme="minorHAnsi" w:hAnsiTheme="minorHAnsi" w:cstheme="minorHAnsi"/>
          <w:sz w:val="22"/>
          <w:lang w:val="en-US"/>
        </w:rPr>
        <w:t>članica</w:t>
      </w:r>
      <w:proofErr w:type="spellEnd"/>
      <w:r w:rsidRPr="0086255B">
        <w:rPr>
          <w:rFonts w:asciiTheme="minorHAnsi" w:hAnsiTheme="minorHAnsi" w:cstheme="minorHAnsi"/>
          <w:sz w:val="22"/>
          <w:lang w:val="en-US"/>
        </w:rPr>
        <w:t xml:space="preserve"> </w:t>
      </w:r>
      <w:proofErr w:type="spellStart"/>
      <w:r w:rsidRPr="0086255B">
        <w:rPr>
          <w:rFonts w:asciiTheme="minorHAnsi" w:hAnsiTheme="minorHAnsi" w:cstheme="minorHAnsi"/>
          <w:sz w:val="22"/>
          <w:lang w:val="en-US"/>
        </w:rPr>
        <w:t>odluči</w:t>
      </w:r>
      <w:proofErr w:type="spellEnd"/>
      <w:r w:rsidRPr="0086255B">
        <w:rPr>
          <w:rFonts w:asciiTheme="minorHAnsi" w:hAnsiTheme="minorHAnsi" w:cstheme="minorHAnsi"/>
          <w:sz w:val="22"/>
          <w:lang w:val="en-US"/>
        </w:rPr>
        <w:t xml:space="preserve"> da </w:t>
      </w:r>
      <w:proofErr w:type="spellStart"/>
      <w:r w:rsidRPr="0086255B">
        <w:rPr>
          <w:rFonts w:asciiTheme="minorHAnsi" w:hAnsiTheme="minorHAnsi" w:cstheme="minorHAnsi"/>
          <w:sz w:val="22"/>
          <w:lang w:val="en-US"/>
        </w:rPr>
        <w:t>primijeni</w:t>
      </w:r>
      <w:proofErr w:type="spellEnd"/>
      <w:r w:rsidRPr="0086255B">
        <w:rPr>
          <w:rFonts w:asciiTheme="minorHAnsi" w:hAnsiTheme="minorHAnsi" w:cstheme="minorHAnsi"/>
          <w:sz w:val="22"/>
          <w:lang w:val="en-US"/>
        </w:rPr>
        <w:t xml:space="preserve"> </w:t>
      </w:r>
      <w:proofErr w:type="spellStart"/>
      <w:r w:rsidRPr="0086255B">
        <w:rPr>
          <w:rFonts w:asciiTheme="minorHAnsi" w:hAnsiTheme="minorHAnsi" w:cstheme="minorHAnsi"/>
          <w:sz w:val="22"/>
          <w:lang w:val="en-US"/>
        </w:rPr>
        <w:t>konkurentski</w:t>
      </w:r>
      <w:proofErr w:type="spellEnd"/>
      <w:r w:rsidRPr="0086255B">
        <w:rPr>
          <w:rFonts w:asciiTheme="minorHAnsi" w:hAnsiTheme="minorHAnsi" w:cstheme="minorHAnsi"/>
          <w:sz w:val="22"/>
          <w:lang w:val="en-US"/>
        </w:rPr>
        <w:t xml:space="preserve"> </w:t>
      </w:r>
      <w:proofErr w:type="spellStart"/>
      <w:r w:rsidRPr="0086255B">
        <w:rPr>
          <w:rFonts w:asciiTheme="minorHAnsi" w:hAnsiTheme="minorHAnsi" w:cstheme="minorHAnsi"/>
          <w:sz w:val="22"/>
          <w:lang w:val="en-US"/>
        </w:rPr>
        <w:t>postupak</w:t>
      </w:r>
      <w:proofErr w:type="spellEnd"/>
      <w:r w:rsidRPr="0086255B">
        <w:rPr>
          <w:rFonts w:asciiTheme="minorHAnsi" w:hAnsiTheme="minorHAnsi" w:cstheme="minorHAnsi"/>
          <w:sz w:val="22"/>
          <w:lang w:val="en-US"/>
        </w:rPr>
        <w:t xml:space="preserve"> </w:t>
      </w:r>
      <w:proofErr w:type="spellStart"/>
      <w:r w:rsidRPr="0086255B">
        <w:rPr>
          <w:rFonts w:asciiTheme="minorHAnsi" w:hAnsiTheme="minorHAnsi" w:cstheme="minorHAnsi"/>
          <w:sz w:val="22"/>
          <w:lang w:val="en-US"/>
        </w:rPr>
        <w:t>tendera</w:t>
      </w:r>
      <w:proofErr w:type="spellEnd"/>
      <w:r w:rsidRPr="0086255B">
        <w:rPr>
          <w:rFonts w:asciiTheme="minorHAnsi" w:hAnsiTheme="minorHAnsi" w:cstheme="minorHAnsi"/>
          <w:sz w:val="22"/>
          <w:lang w:val="en-US"/>
        </w:rPr>
        <w:t xml:space="preserve">, </w:t>
      </w:r>
      <w:proofErr w:type="spellStart"/>
      <w:r w:rsidRPr="0086255B">
        <w:rPr>
          <w:rFonts w:asciiTheme="minorHAnsi" w:hAnsiTheme="minorHAnsi" w:cstheme="minorHAnsi"/>
          <w:sz w:val="22"/>
          <w:lang w:val="en-US"/>
        </w:rPr>
        <w:t>objasnite</w:t>
      </w:r>
      <w:proofErr w:type="spellEnd"/>
      <w:r w:rsidRPr="0086255B">
        <w:rPr>
          <w:rFonts w:asciiTheme="minorHAnsi" w:hAnsiTheme="minorHAnsi" w:cstheme="minorHAnsi"/>
          <w:sz w:val="22"/>
          <w:lang w:val="en-US"/>
        </w:rPr>
        <w:t xml:space="preserve"> da li </w:t>
      </w:r>
      <w:proofErr w:type="spellStart"/>
      <w:r w:rsidRPr="0086255B">
        <w:rPr>
          <w:rFonts w:asciiTheme="minorHAnsi" w:hAnsiTheme="minorHAnsi" w:cstheme="minorHAnsi"/>
          <w:sz w:val="22"/>
          <w:lang w:val="en-US"/>
        </w:rPr>
        <w:t>prijavljena</w:t>
      </w:r>
      <w:proofErr w:type="spellEnd"/>
      <w:r w:rsidRPr="0086255B">
        <w:rPr>
          <w:rFonts w:asciiTheme="minorHAnsi" w:hAnsiTheme="minorHAnsi" w:cstheme="minorHAnsi"/>
          <w:sz w:val="22"/>
          <w:lang w:val="en-US"/>
        </w:rPr>
        <w:t xml:space="preserve"> </w:t>
      </w:r>
      <w:proofErr w:type="spellStart"/>
      <w:r w:rsidRPr="0086255B">
        <w:rPr>
          <w:rFonts w:asciiTheme="minorHAnsi" w:hAnsiTheme="minorHAnsi" w:cstheme="minorHAnsi"/>
          <w:sz w:val="22"/>
          <w:lang w:val="en-US"/>
        </w:rPr>
        <w:t>mjera</w:t>
      </w:r>
      <w:proofErr w:type="spellEnd"/>
      <w:r w:rsidRPr="0086255B">
        <w:rPr>
          <w:rFonts w:asciiTheme="minorHAnsi" w:hAnsiTheme="minorHAnsi" w:cstheme="minorHAnsi"/>
          <w:sz w:val="22"/>
          <w:lang w:val="en-US"/>
        </w:rPr>
        <w:t xml:space="preserve"> </w:t>
      </w:r>
      <w:proofErr w:type="spellStart"/>
      <w:r w:rsidRPr="0086255B">
        <w:rPr>
          <w:rFonts w:asciiTheme="minorHAnsi" w:hAnsiTheme="minorHAnsi" w:cstheme="minorHAnsi"/>
          <w:sz w:val="22"/>
          <w:lang w:val="en-US"/>
        </w:rPr>
        <w:t>sadrži</w:t>
      </w:r>
      <w:proofErr w:type="spellEnd"/>
      <w:r w:rsidRPr="0086255B">
        <w:rPr>
          <w:rFonts w:asciiTheme="minorHAnsi" w:hAnsiTheme="minorHAnsi" w:cstheme="minorHAnsi"/>
          <w:sz w:val="22"/>
          <w:lang w:val="en-US"/>
        </w:rPr>
        <w:t xml:space="preserve"> </w:t>
      </w:r>
      <w:proofErr w:type="spellStart"/>
      <w:r w:rsidRPr="0086255B">
        <w:rPr>
          <w:rFonts w:asciiTheme="minorHAnsi" w:hAnsiTheme="minorHAnsi" w:cstheme="minorHAnsi"/>
          <w:sz w:val="22"/>
          <w:lang w:val="en-US"/>
        </w:rPr>
        <w:t>elemente</w:t>
      </w:r>
      <w:proofErr w:type="spellEnd"/>
      <w:r w:rsidRPr="0086255B">
        <w:rPr>
          <w:rFonts w:asciiTheme="minorHAnsi" w:hAnsiTheme="minorHAnsi" w:cstheme="minorHAnsi"/>
          <w:sz w:val="22"/>
          <w:lang w:val="en-US"/>
        </w:rPr>
        <w:t xml:space="preserve"> </w:t>
      </w:r>
      <w:proofErr w:type="spellStart"/>
      <w:r w:rsidRPr="0086255B">
        <w:rPr>
          <w:rFonts w:asciiTheme="minorHAnsi" w:hAnsiTheme="minorHAnsi" w:cstheme="minorHAnsi"/>
          <w:sz w:val="22"/>
          <w:lang w:val="en-US"/>
        </w:rPr>
        <w:t>koji</w:t>
      </w:r>
      <w:proofErr w:type="spellEnd"/>
      <w:r w:rsidRPr="0086255B">
        <w:rPr>
          <w:rFonts w:asciiTheme="minorHAnsi" w:hAnsiTheme="minorHAnsi" w:cstheme="minorHAnsi"/>
          <w:sz w:val="22"/>
          <w:lang w:val="en-US"/>
        </w:rPr>
        <w:t xml:space="preserve"> </w:t>
      </w:r>
      <w:proofErr w:type="spellStart"/>
      <w:r w:rsidRPr="0086255B">
        <w:rPr>
          <w:rFonts w:asciiTheme="minorHAnsi" w:hAnsiTheme="minorHAnsi" w:cstheme="minorHAnsi"/>
          <w:sz w:val="22"/>
          <w:lang w:val="en-US"/>
        </w:rPr>
        <w:t>olakšavaju</w:t>
      </w:r>
      <w:proofErr w:type="spellEnd"/>
      <w:r w:rsidRPr="0086255B">
        <w:rPr>
          <w:rFonts w:asciiTheme="minorHAnsi" w:hAnsiTheme="minorHAnsi" w:cstheme="minorHAnsi"/>
          <w:sz w:val="22"/>
          <w:lang w:val="en-US"/>
        </w:rPr>
        <w:t xml:space="preserve"> </w:t>
      </w:r>
      <w:proofErr w:type="spellStart"/>
      <w:r w:rsidRPr="0086255B">
        <w:rPr>
          <w:rFonts w:asciiTheme="minorHAnsi" w:hAnsiTheme="minorHAnsi" w:cstheme="minorHAnsi"/>
          <w:sz w:val="22"/>
          <w:lang w:val="en-US"/>
        </w:rPr>
        <w:t>učešće</w:t>
      </w:r>
      <w:proofErr w:type="spellEnd"/>
      <w:r w:rsidRPr="0086255B">
        <w:rPr>
          <w:rFonts w:asciiTheme="minorHAnsi" w:hAnsiTheme="minorHAnsi" w:cstheme="minorHAnsi"/>
          <w:sz w:val="22"/>
          <w:lang w:val="en-US"/>
        </w:rPr>
        <w:t xml:space="preserve"> MSP-ova </w:t>
      </w:r>
      <w:proofErr w:type="spellStart"/>
      <w:r w:rsidRPr="0086255B">
        <w:rPr>
          <w:rFonts w:asciiTheme="minorHAnsi" w:hAnsiTheme="minorHAnsi" w:cstheme="minorHAnsi"/>
          <w:sz w:val="22"/>
          <w:lang w:val="en-US"/>
        </w:rPr>
        <w:t>ili</w:t>
      </w:r>
      <w:proofErr w:type="spellEnd"/>
      <w:r w:rsidRPr="0086255B">
        <w:rPr>
          <w:rFonts w:asciiTheme="minorHAnsi" w:hAnsiTheme="minorHAnsi" w:cstheme="minorHAnsi"/>
          <w:sz w:val="22"/>
          <w:lang w:val="en-US"/>
        </w:rPr>
        <w:t xml:space="preserve"> </w:t>
      </w:r>
      <w:proofErr w:type="spellStart"/>
      <w:r w:rsidRPr="0086255B">
        <w:rPr>
          <w:rFonts w:asciiTheme="minorHAnsi" w:hAnsiTheme="minorHAnsi" w:cstheme="minorHAnsi"/>
          <w:sz w:val="22"/>
          <w:lang w:val="en-US"/>
        </w:rPr>
        <w:t>energetskih</w:t>
      </w:r>
      <w:proofErr w:type="spellEnd"/>
      <w:r w:rsidRPr="0086255B">
        <w:rPr>
          <w:rFonts w:asciiTheme="minorHAnsi" w:hAnsiTheme="minorHAnsi" w:cstheme="minorHAnsi"/>
          <w:sz w:val="22"/>
          <w:lang w:val="en-US"/>
        </w:rPr>
        <w:t xml:space="preserve"> </w:t>
      </w:r>
      <w:proofErr w:type="spellStart"/>
      <w:r w:rsidRPr="0086255B">
        <w:rPr>
          <w:rFonts w:asciiTheme="minorHAnsi" w:hAnsiTheme="minorHAnsi" w:cstheme="minorHAnsi"/>
          <w:sz w:val="22"/>
          <w:lang w:val="en-US"/>
        </w:rPr>
        <w:t>zajednica</w:t>
      </w:r>
      <w:proofErr w:type="spellEnd"/>
      <w:r w:rsidRPr="0086255B">
        <w:rPr>
          <w:rFonts w:asciiTheme="minorHAnsi" w:hAnsiTheme="minorHAnsi" w:cstheme="minorHAnsi"/>
          <w:sz w:val="22"/>
          <w:lang w:val="en-US"/>
        </w:rPr>
        <w:t xml:space="preserve"> </w:t>
      </w:r>
      <w:proofErr w:type="spellStart"/>
      <w:r w:rsidRPr="0086255B">
        <w:rPr>
          <w:rFonts w:asciiTheme="minorHAnsi" w:hAnsiTheme="minorHAnsi" w:cstheme="minorHAnsi"/>
          <w:sz w:val="22"/>
          <w:lang w:val="en-US"/>
        </w:rPr>
        <w:t>iz</w:t>
      </w:r>
      <w:proofErr w:type="spellEnd"/>
      <w:r w:rsidRPr="0086255B">
        <w:rPr>
          <w:rFonts w:asciiTheme="minorHAnsi" w:hAnsiTheme="minorHAnsi" w:cstheme="minorHAnsi"/>
          <w:sz w:val="22"/>
          <w:lang w:val="en-US"/>
        </w:rPr>
        <w:t xml:space="preserve"> </w:t>
      </w:r>
      <w:proofErr w:type="spellStart"/>
      <w:r w:rsidRPr="0086255B">
        <w:rPr>
          <w:rFonts w:asciiTheme="minorHAnsi" w:hAnsiTheme="minorHAnsi" w:cstheme="minorHAnsi"/>
          <w:sz w:val="22"/>
          <w:lang w:val="en-US"/>
        </w:rPr>
        <w:t>obnovljivih</w:t>
      </w:r>
      <w:proofErr w:type="spellEnd"/>
      <w:r w:rsidRPr="0086255B">
        <w:rPr>
          <w:rFonts w:asciiTheme="minorHAnsi" w:hAnsiTheme="minorHAnsi" w:cstheme="minorHAnsi"/>
          <w:sz w:val="22"/>
          <w:lang w:val="en-US"/>
        </w:rPr>
        <w:t xml:space="preserve"> </w:t>
      </w:r>
      <w:proofErr w:type="spellStart"/>
      <w:r w:rsidRPr="0086255B">
        <w:rPr>
          <w:rFonts w:asciiTheme="minorHAnsi" w:hAnsiTheme="minorHAnsi" w:cstheme="minorHAnsi"/>
          <w:sz w:val="22"/>
          <w:lang w:val="en-US"/>
        </w:rPr>
        <w:t>izvora</w:t>
      </w:r>
      <w:proofErr w:type="spellEnd"/>
      <w:r w:rsidRPr="0086255B">
        <w:rPr>
          <w:rFonts w:asciiTheme="minorHAnsi" w:hAnsiTheme="minorHAnsi" w:cstheme="minorHAnsi"/>
          <w:sz w:val="22"/>
          <w:lang w:val="en-US"/>
        </w:rPr>
        <w:t xml:space="preserve">. </w:t>
      </w:r>
      <w:proofErr w:type="spellStart"/>
      <w:r w:rsidRPr="0086255B">
        <w:rPr>
          <w:rFonts w:asciiTheme="minorHAnsi" w:hAnsiTheme="minorHAnsi" w:cstheme="minorHAnsi"/>
          <w:sz w:val="22"/>
          <w:lang w:val="en-US"/>
        </w:rPr>
        <w:t>Ukoliko</w:t>
      </w:r>
      <w:proofErr w:type="spellEnd"/>
      <w:r w:rsidRPr="0086255B">
        <w:rPr>
          <w:rFonts w:asciiTheme="minorHAnsi" w:hAnsiTheme="minorHAnsi" w:cstheme="minorHAnsi"/>
          <w:sz w:val="22"/>
          <w:lang w:val="en-US"/>
        </w:rPr>
        <w:t xml:space="preserve"> je </w:t>
      </w:r>
      <w:proofErr w:type="spellStart"/>
      <w:r w:rsidRPr="0086255B">
        <w:rPr>
          <w:rFonts w:asciiTheme="minorHAnsi" w:hAnsiTheme="minorHAnsi" w:cstheme="minorHAnsi"/>
          <w:sz w:val="22"/>
          <w:lang w:val="en-US"/>
        </w:rPr>
        <w:t>odgovor</w:t>
      </w:r>
      <w:proofErr w:type="spellEnd"/>
      <w:r w:rsidRPr="0086255B">
        <w:rPr>
          <w:rFonts w:asciiTheme="minorHAnsi" w:hAnsiTheme="minorHAnsi" w:cstheme="minorHAnsi"/>
          <w:sz w:val="22"/>
          <w:lang w:val="en-US"/>
        </w:rPr>
        <w:t xml:space="preserve"> </w:t>
      </w:r>
      <w:proofErr w:type="spellStart"/>
      <w:r w:rsidRPr="0086255B">
        <w:rPr>
          <w:rFonts w:asciiTheme="minorHAnsi" w:hAnsiTheme="minorHAnsi" w:cstheme="minorHAnsi"/>
          <w:sz w:val="22"/>
          <w:lang w:val="en-US"/>
        </w:rPr>
        <w:t>potvrdan</w:t>
      </w:r>
      <w:proofErr w:type="spellEnd"/>
      <w:r w:rsidRPr="0086255B">
        <w:rPr>
          <w:rFonts w:asciiTheme="minorHAnsi" w:hAnsiTheme="minorHAnsi" w:cstheme="minorHAnsi"/>
          <w:sz w:val="22"/>
          <w:lang w:val="en-US"/>
        </w:rPr>
        <w:t xml:space="preserve">, </w:t>
      </w:r>
      <w:proofErr w:type="spellStart"/>
      <w:r w:rsidRPr="0086255B">
        <w:rPr>
          <w:rFonts w:asciiTheme="minorHAnsi" w:hAnsiTheme="minorHAnsi" w:cstheme="minorHAnsi"/>
          <w:sz w:val="22"/>
          <w:lang w:val="en-US"/>
        </w:rPr>
        <w:t>dostavite</w:t>
      </w:r>
      <w:proofErr w:type="spellEnd"/>
      <w:r w:rsidRPr="0086255B">
        <w:rPr>
          <w:rFonts w:asciiTheme="minorHAnsi" w:hAnsiTheme="minorHAnsi" w:cstheme="minorHAnsi"/>
          <w:sz w:val="22"/>
          <w:lang w:val="en-US"/>
        </w:rPr>
        <w:t xml:space="preserve"> </w:t>
      </w:r>
      <w:proofErr w:type="spellStart"/>
      <w:r w:rsidRPr="0086255B">
        <w:rPr>
          <w:rFonts w:asciiTheme="minorHAnsi" w:hAnsiTheme="minorHAnsi" w:cstheme="minorHAnsi"/>
          <w:sz w:val="22"/>
          <w:lang w:val="en-US"/>
        </w:rPr>
        <w:t>podatke</w:t>
      </w:r>
      <w:proofErr w:type="spellEnd"/>
      <w:r w:rsidRPr="0086255B">
        <w:rPr>
          <w:rFonts w:asciiTheme="minorHAnsi" w:hAnsiTheme="minorHAnsi" w:cstheme="minorHAnsi"/>
          <w:sz w:val="22"/>
          <w:lang w:val="en-US"/>
        </w:rPr>
        <w:t xml:space="preserve"> o </w:t>
      </w:r>
      <w:proofErr w:type="spellStart"/>
      <w:r w:rsidRPr="0086255B">
        <w:rPr>
          <w:rFonts w:asciiTheme="minorHAnsi" w:hAnsiTheme="minorHAnsi" w:cstheme="minorHAnsi"/>
          <w:sz w:val="22"/>
          <w:lang w:val="en-US"/>
        </w:rPr>
        <w:t>tim</w:t>
      </w:r>
      <w:proofErr w:type="spellEnd"/>
      <w:r w:rsidRPr="0086255B">
        <w:rPr>
          <w:rFonts w:asciiTheme="minorHAnsi" w:hAnsiTheme="minorHAnsi" w:cstheme="minorHAnsi"/>
          <w:sz w:val="22"/>
          <w:lang w:val="en-US"/>
        </w:rPr>
        <w:t xml:space="preserve"> </w:t>
      </w:r>
      <w:proofErr w:type="spellStart"/>
      <w:r w:rsidRPr="0086255B">
        <w:rPr>
          <w:rFonts w:asciiTheme="minorHAnsi" w:hAnsiTheme="minorHAnsi" w:cstheme="minorHAnsi"/>
          <w:sz w:val="22"/>
          <w:lang w:val="en-US"/>
        </w:rPr>
        <w:t>elementima</w:t>
      </w:r>
      <w:proofErr w:type="spellEnd"/>
      <w:r w:rsidRPr="0086255B">
        <w:rPr>
          <w:rFonts w:asciiTheme="minorHAnsi" w:hAnsiTheme="minorHAnsi" w:cstheme="minorHAnsi"/>
          <w:sz w:val="22"/>
          <w:lang w:val="en-US"/>
        </w:rPr>
        <w:t xml:space="preserve"> i </w:t>
      </w:r>
      <w:proofErr w:type="spellStart"/>
      <w:r w:rsidRPr="0086255B">
        <w:rPr>
          <w:rFonts w:asciiTheme="minorHAnsi" w:hAnsiTheme="minorHAnsi" w:cstheme="minorHAnsi"/>
          <w:sz w:val="22"/>
          <w:lang w:val="en-US"/>
        </w:rPr>
        <w:t>obrazložite</w:t>
      </w:r>
      <w:proofErr w:type="spellEnd"/>
      <w:r w:rsidRPr="0086255B">
        <w:rPr>
          <w:rFonts w:asciiTheme="minorHAnsi" w:hAnsiTheme="minorHAnsi" w:cstheme="minorHAnsi"/>
          <w:sz w:val="22"/>
          <w:lang w:val="en-US"/>
        </w:rPr>
        <w:t xml:space="preserve"> </w:t>
      </w:r>
      <w:proofErr w:type="spellStart"/>
      <w:r w:rsidRPr="0086255B">
        <w:rPr>
          <w:rFonts w:asciiTheme="minorHAnsi" w:hAnsiTheme="minorHAnsi" w:cstheme="minorHAnsi"/>
          <w:sz w:val="22"/>
          <w:lang w:val="en-US"/>
        </w:rPr>
        <w:t>na</w:t>
      </w:r>
      <w:proofErr w:type="spellEnd"/>
      <w:r w:rsidRPr="0086255B">
        <w:rPr>
          <w:rFonts w:asciiTheme="minorHAnsi" w:hAnsiTheme="minorHAnsi" w:cstheme="minorHAnsi"/>
          <w:sz w:val="22"/>
          <w:lang w:val="en-US"/>
        </w:rPr>
        <w:t xml:space="preserve"> </w:t>
      </w:r>
      <w:proofErr w:type="spellStart"/>
      <w:r w:rsidRPr="0086255B">
        <w:rPr>
          <w:rFonts w:asciiTheme="minorHAnsi" w:hAnsiTheme="minorHAnsi" w:cstheme="minorHAnsi"/>
          <w:sz w:val="22"/>
          <w:lang w:val="en-US"/>
        </w:rPr>
        <w:t>koji</w:t>
      </w:r>
      <w:proofErr w:type="spellEnd"/>
      <w:r w:rsidRPr="0086255B">
        <w:rPr>
          <w:rFonts w:asciiTheme="minorHAnsi" w:hAnsiTheme="minorHAnsi" w:cstheme="minorHAnsi"/>
          <w:sz w:val="22"/>
          <w:lang w:val="en-US"/>
        </w:rPr>
        <w:t xml:space="preserve"> </w:t>
      </w:r>
      <w:proofErr w:type="spellStart"/>
      <w:r w:rsidRPr="0086255B">
        <w:rPr>
          <w:rFonts w:asciiTheme="minorHAnsi" w:hAnsiTheme="minorHAnsi" w:cstheme="minorHAnsi"/>
          <w:sz w:val="22"/>
          <w:lang w:val="en-US"/>
        </w:rPr>
        <w:t>način</w:t>
      </w:r>
      <w:proofErr w:type="spellEnd"/>
      <w:r w:rsidRPr="0086255B">
        <w:rPr>
          <w:rFonts w:asciiTheme="minorHAnsi" w:hAnsiTheme="minorHAnsi" w:cstheme="minorHAnsi"/>
          <w:sz w:val="22"/>
          <w:lang w:val="en-US"/>
        </w:rPr>
        <w:t xml:space="preserve"> </w:t>
      </w:r>
      <w:proofErr w:type="spellStart"/>
      <w:r w:rsidRPr="0086255B">
        <w:rPr>
          <w:rFonts w:asciiTheme="minorHAnsi" w:hAnsiTheme="minorHAnsi" w:cstheme="minorHAnsi"/>
          <w:sz w:val="22"/>
          <w:lang w:val="en-US"/>
        </w:rPr>
        <w:t>pozitivni</w:t>
      </w:r>
      <w:proofErr w:type="spellEnd"/>
      <w:r w:rsidRPr="0086255B">
        <w:rPr>
          <w:rFonts w:asciiTheme="minorHAnsi" w:hAnsiTheme="minorHAnsi" w:cstheme="minorHAnsi"/>
          <w:sz w:val="22"/>
          <w:lang w:val="en-US"/>
        </w:rPr>
        <w:t xml:space="preserve"> </w:t>
      </w:r>
      <w:proofErr w:type="spellStart"/>
      <w:r w:rsidRPr="0086255B">
        <w:rPr>
          <w:rFonts w:asciiTheme="minorHAnsi" w:hAnsiTheme="minorHAnsi" w:cstheme="minorHAnsi"/>
          <w:sz w:val="22"/>
          <w:lang w:val="en-US"/>
        </w:rPr>
        <w:t>efekti</w:t>
      </w:r>
      <w:proofErr w:type="spellEnd"/>
      <w:r w:rsidRPr="0086255B">
        <w:rPr>
          <w:rFonts w:asciiTheme="minorHAnsi" w:hAnsiTheme="minorHAnsi" w:cstheme="minorHAnsi"/>
          <w:sz w:val="22"/>
          <w:lang w:val="en-US"/>
        </w:rPr>
        <w:t xml:space="preserve"> </w:t>
      </w:r>
      <w:proofErr w:type="spellStart"/>
      <w:r w:rsidRPr="0086255B">
        <w:rPr>
          <w:rFonts w:asciiTheme="minorHAnsi" w:hAnsiTheme="minorHAnsi" w:cstheme="minorHAnsi"/>
          <w:sz w:val="22"/>
          <w:lang w:val="en-US"/>
        </w:rPr>
        <w:t>obezbjeđivanja</w:t>
      </w:r>
      <w:proofErr w:type="spellEnd"/>
      <w:r w:rsidRPr="0086255B">
        <w:rPr>
          <w:rFonts w:asciiTheme="minorHAnsi" w:hAnsiTheme="minorHAnsi" w:cstheme="minorHAnsi"/>
          <w:sz w:val="22"/>
          <w:lang w:val="en-US"/>
        </w:rPr>
        <w:t xml:space="preserve"> </w:t>
      </w:r>
      <w:proofErr w:type="spellStart"/>
      <w:r w:rsidRPr="0086255B">
        <w:rPr>
          <w:rFonts w:asciiTheme="minorHAnsi" w:hAnsiTheme="minorHAnsi" w:cstheme="minorHAnsi"/>
          <w:sz w:val="22"/>
          <w:lang w:val="en-US"/>
        </w:rPr>
        <w:t>učešća</w:t>
      </w:r>
      <w:proofErr w:type="spellEnd"/>
      <w:r w:rsidRPr="0086255B">
        <w:rPr>
          <w:rFonts w:asciiTheme="minorHAnsi" w:hAnsiTheme="minorHAnsi" w:cstheme="minorHAnsi"/>
          <w:sz w:val="22"/>
          <w:lang w:val="en-US"/>
        </w:rPr>
        <w:t xml:space="preserve"> i </w:t>
      </w:r>
      <w:proofErr w:type="spellStart"/>
      <w:r w:rsidRPr="0086255B">
        <w:rPr>
          <w:rFonts w:asciiTheme="minorHAnsi" w:hAnsiTheme="minorHAnsi" w:cstheme="minorHAnsi"/>
          <w:sz w:val="22"/>
          <w:lang w:val="en-US"/>
        </w:rPr>
        <w:t>prihvatanja</w:t>
      </w:r>
      <w:proofErr w:type="spellEnd"/>
      <w:r w:rsidRPr="0086255B">
        <w:rPr>
          <w:rFonts w:asciiTheme="minorHAnsi" w:hAnsiTheme="minorHAnsi" w:cstheme="minorHAnsi"/>
          <w:sz w:val="22"/>
          <w:lang w:val="en-US"/>
        </w:rPr>
        <w:t xml:space="preserve"> MSP-a u </w:t>
      </w:r>
      <w:proofErr w:type="spellStart"/>
      <w:r w:rsidRPr="0086255B">
        <w:rPr>
          <w:rFonts w:asciiTheme="minorHAnsi" w:hAnsiTheme="minorHAnsi" w:cstheme="minorHAnsi"/>
          <w:sz w:val="22"/>
          <w:lang w:val="en-US"/>
        </w:rPr>
        <w:t>prijavljenoj</w:t>
      </w:r>
      <w:proofErr w:type="spellEnd"/>
      <w:r w:rsidRPr="0086255B">
        <w:rPr>
          <w:rFonts w:asciiTheme="minorHAnsi" w:hAnsiTheme="minorHAnsi" w:cstheme="minorHAnsi"/>
          <w:sz w:val="22"/>
          <w:lang w:val="en-US"/>
        </w:rPr>
        <w:t xml:space="preserve"> </w:t>
      </w:r>
      <w:proofErr w:type="spellStart"/>
      <w:r w:rsidRPr="0086255B">
        <w:rPr>
          <w:rFonts w:asciiTheme="minorHAnsi" w:hAnsiTheme="minorHAnsi" w:cstheme="minorHAnsi"/>
          <w:sz w:val="22"/>
          <w:lang w:val="en-US"/>
        </w:rPr>
        <w:t>mjeri</w:t>
      </w:r>
      <w:proofErr w:type="spellEnd"/>
      <w:r w:rsidRPr="0086255B">
        <w:rPr>
          <w:rFonts w:asciiTheme="minorHAnsi" w:hAnsiTheme="minorHAnsi" w:cstheme="minorHAnsi"/>
          <w:sz w:val="22"/>
          <w:lang w:val="en-US"/>
        </w:rPr>
        <w:t xml:space="preserve"> (</w:t>
      </w:r>
      <w:proofErr w:type="spellStart"/>
      <w:r w:rsidRPr="0086255B">
        <w:rPr>
          <w:rFonts w:asciiTheme="minorHAnsi" w:hAnsiTheme="minorHAnsi" w:cstheme="minorHAnsi"/>
          <w:sz w:val="22"/>
          <w:lang w:val="en-US"/>
        </w:rPr>
        <w:t>mjerama</w:t>
      </w:r>
      <w:proofErr w:type="spellEnd"/>
      <w:r w:rsidRPr="0086255B">
        <w:rPr>
          <w:rFonts w:asciiTheme="minorHAnsi" w:hAnsiTheme="minorHAnsi" w:cstheme="minorHAnsi"/>
          <w:sz w:val="22"/>
          <w:lang w:val="en-US"/>
        </w:rPr>
        <w:t xml:space="preserve">) </w:t>
      </w:r>
      <w:proofErr w:type="spellStart"/>
      <w:r w:rsidRPr="0086255B">
        <w:rPr>
          <w:rFonts w:asciiTheme="minorHAnsi" w:hAnsiTheme="minorHAnsi" w:cstheme="minorHAnsi"/>
          <w:sz w:val="22"/>
          <w:lang w:val="en-US"/>
        </w:rPr>
        <w:t>prevazilaze</w:t>
      </w:r>
      <w:proofErr w:type="spellEnd"/>
      <w:r w:rsidRPr="0086255B">
        <w:rPr>
          <w:rFonts w:asciiTheme="minorHAnsi" w:hAnsiTheme="minorHAnsi" w:cstheme="minorHAnsi"/>
          <w:sz w:val="22"/>
          <w:lang w:val="en-US"/>
        </w:rPr>
        <w:t xml:space="preserve"> </w:t>
      </w:r>
      <w:proofErr w:type="spellStart"/>
      <w:r w:rsidRPr="0086255B">
        <w:rPr>
          <w:rFonts w:asciiTheme="minorHAnsi" w:hAnsiTheme="minorHAnsi" w:cstheme="minorHAnsi"/>
          <w:sz w:val="22"/>
          <w:lang w:val="en-US"/>
        </w:rPr>
        <w:t>moguće</w:t>
      </w:r>
      <w:proofErr w:type="spellEnd"/>
      <w:r w:rsidRPr="0086255B">
        <w:rPr>
          <w:rFonts w:asciiTheme="minorHAnsi" w:hAnsiTheme="minorHAnsi" w:cstheme="minorHAnsi"/>
          <w:sz w:val="22"/>
          <w:lang w:val="en-US"/>
        </w:rPr>
        <w:t xml:space="preserve"> </w:t>
      </w:r>
      <w:proofErr w:type="spellStart"/>
      <w:r w:rsidRPr="0086255B">
        <w:rPr>
          <w:rFonts w:asciiTheme="minorHAnsi" w:hAnsiTheme="minorHAnsi" w:cstheme="minorHAnsi"/>
          <w:sz w:val="22"/>
          <w:lang w:val="en-US"/>
        </w:rPr>
        <w:t>negativne</w:t>
      </w:r>
      <w:proofErr w:type="spellEnd"/>
      <w:r w:rsidRPr="0086255B">
        <w:rPr>
          <w:rFonts w:asciiTheme="minorHAnsi" w:hAnsiTheme="minorHAnsi" w:cstheme="minorHAnsi"/>
          <w:sz w:val="22"/>
          <w:lang w:val="en-US"/>
        </w:rPr>
        <w:t xml:space="preserve"> </w:t>
      </w:r>
      <w:proofErr w:type="spellStart"/>
      <w:r w:rsidRPr="0086255B">
        <w:rPr>
          <w:rFonts w:asciiTheme="minorHAnsi" w:hAnsiTheme="minorHAnsi" w:cstheme="minorHAnsi"/>
          <w:sz w:val="22"/>
          <w:lang w:val="en-US"/>
        </w:rPr>
        <w:t>efekte</w:t>
      </w:r>
      <w:proofErr w:type="spellEnd"/>
      <w:r w:rsidRPr="0086255B">
        <w:rPr>
          <w:rFonts w:asciiTheme="minorHAnsi" w:hAnsiTheme="minorHAnsi" w:cstheme="minorHAnsi"/>
          <w:sz w:val="22"/>
          <w:lang w:val="en-US"/>
        </w:rPr>
        <w:t xml:space="preserve"> po </w:t>
      </w:r>
      <w:proofErr w:type="spellStart"/>
      <w:r w:rsidRPr="0086255B">
        <w:rPr>
          <w:rFonts w:asciiTheme="minorHAnsi" w:hAnsiTheme="minorHAnsi" w:cstheme="minorHAnsi"/>
          <w:sz w:val="22"/>
          <w:lang w:val="en-US"/>
        </w:rPr>
        <w:t>konkurenciju</w:t>
      </w:r>
      <w:proofErr w:type="spellEnd"/>
      <w:r w:rsidRPr="0086255B">
        <w:rPr>
          <w:rFonts w:asciiTheme="minorHAnsi" w:hAnsiTheme="minorHAnsi" w:cstheme="minorHAnsi"/>
          <w:sz w:val="22"/>
          <w:lang w:val="en-US"/>
        </w:rPr>
        <w:t>.</w:t>
      </w:r>
    </w:p>
    <w:p w14:paraId="4BE4C8FF" w14:textId="77777777" w:rsidR="00211F70" w:rsidRPr="0086255B" w:rsidRDefault="00211F70" w:rsidP="00211F70">
      <w:pPr>
        <w:tabs>
          <w:tab w:val="left" w:leader="dot" w:pos="9072"/>
        </w:tabs>
        <w:spacing w:before="120" w:after="120"/>
        <w:jc w:val="both"/>
        <w:rPr>
          <w:rFonts w:cstheme="minorHAnsi"/>
          <w:noProof/>
        </w:rPr>
      </w:pPr>
      <w:r w:rsidRPr="0086255B">
        <w:rPr>
          <w:rFonts w:cstheme="minorHAnsi"/>
          <w:noProof/>
        </w:rPr>
        <w:tab/>
      </w:r>
    </w:p>
    <w:p w14:paraId="22FFCA29" w14:textId="77777777" w:rsidR="00211F70" w:rsidRPr="0086255B" w:rsidRDefault="00211F70" w:rsidP="00211F70">
      <w:pPr>
        <w:pStyle w:val="NumPar1"/>
        <w:numPr>
          <w:ilvl w:val="0"/>
          <w:numId w:val="13"/>
        </w:numPr>
        <w:tabs>
          <w:tab w:val="clear" w:pos="850"/>
        </w:tabs>
        <w:ind w:left="360" w:hanging="360"/>
        <w:rPr>
          <w:rFonts w:asciiTheme="minorHAnsi" w:hAnsiTheme="minorHAnsi" w:cstheme="minorHAnsi"/>
          <w:sz w:val="22"/>
          <w:lang w:val="en-US"/>
        </w:rPr>
      </w:pPr>
      <w:proofErr w:type="spellStart"/>
      <w:r w:rsidRPr="0086255B">
        <w:rPr>
          <w:rFonts w:asciiTheme="minorHAnsi" w:hAnsiTheme="minorHAnsi" w:cstheme="minorHAnsi"/>
          <w:sz w:val="22"/>
        </w:rPr>
        <w:t>Kako</w:t>
      </w:r>
      <w:proofErr w:type="spellEnd"/>
      <w:r w:rsidRPr="0086255B">
        <w:rPr>
          <w:rFonts w:asciiTheme="minorHAnsi" w:hAnsiTheme="minorHAnsi" w:cstheme="minorHAnsi"/>
          <w:sz w:val="22"/>
        </w:rPr>
        <w:t xml:space="preserve"> bi se </w:t>
      </w:r>
      <w:proofErr w:type="spellStart"/>
      <w:r w:rsidRPr="0086255B">
        <w:rPr>
          <w:rFonts w:asciiTheme="minorHAnsi" w:hAnsiTheme="minorHAnsi" w:cstheme="minorHAnsi"/>
          <w:sz w:val="22"/>
        </w:rPr>
        <w:t>dokazala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usklađenost</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sa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tačkama</w:t>
      </w:r>
      <w:proofErr w:type="spellEnd"/>
      <w:r w:rsidRPr="0086255B">
        <w:rPr>
          <w:rFonts w:asciiTheme="minorHAnsi" w:hAnsiTheme="minorHAnsi" w:cstheme="minorHAnsi"/>
          <w:sz w:val="22"/>
        </w:rPr>
        <w:t xml:space="preserve"> 368 i 369 CEEAG-a:</w:t>
      </w:r>
    </w:p>
    <w:p w14:paraId="49FB5379" w14:textId="77777777" w:rsidR="00211F70" w:rsidRPr="0086255B" w:rsidRDefault="00211F70" w:rsidP="00211F70">
      <w:pPr>
        <w:pStyle w:val="Point2letter"/>
        <w:numPr>
          <w:ilvl w:val="5"/>
          <w:numId w:val="12"/>
        </w:numPr>
        <w:tabs>
          <w:tab w:val="clear" w:pos="1984"/>
        </w:tabs>
        <w:ind w:left="720" w:hanging="360"/>
        <w:rPr>
          <w:rFonts w:asciiTheme="minorHAnsi" w:hAnsiTheme="minorHAnsi" w:cstheme="minorHAnsi"/>
          <w:sz w:val="22"/>
        </w:rPr>
      </w:pPr>
      <w:r w:rsidRPr="0086255B">
        <w:rPr>
          <w:rFonts w:asciiTheme="minorHAnsi" w:hAnsiTheme="minorHAnsi" w:cstheme="minorHAnsi"/>
          <w:sz w:val="22"/>
        </w:rPr>
        <w:t>ukoliko prijavljena mjera podstiče nova ulaganja u fosilna goriva kaja najviše zagađuju, objasnite da li je mjera, uključujući mjere za sprečavanje zagušenja u mreži i šeme prekidnog snabdijevanja, u skladu sa pragom emisija koji se primjenjuje na mehanizme kapaciteta navedene u članu 22 Regulative (EU) 2019/943;</w:t>
      </w:r>
    </w:p>
    <w:p w14:paraId="49BE14DC" w14:textId="77777777" w:rsidR="00211F70" w:rsidRDefault="00211F70" w:rsidP="00211F70">
      <w:pPr>
        <w:tabs>
          <w:tab w:val="left" w:leader="dot" w:pos="9072"/>
        </w:tabs>
        <w:spacing w:before="120" w:after="120"/>
        <w:jc w:val="both"/>
        <w:rPr>
          <w:rFonts w:cstheme="minorHAnsi"/>
          <w:noProof/>
        </w:rPr>
      </w:pPr>
      <w:r w:rsidRPr="0086255B">
        <w:rPr>
          <w:rFonts w:cstheme="minorHAnsi"/>
          <w:noProof/>
        </w:rPr>
        <w:tab/>
      </w:r>
    </w:p>
    <w:p w14:paraId="1C3315D7" w14:textId="77777777" w:rsidR="00211F70" w:rsidRPr="0086255B" w:rsidRDefault="00211F70" w:rsidP="00211F70">
      <w:pPr>
        <w:tabs>
          <w:tab w:val="left" w:leader="dot" w:pos="9072"/>
        </w:tabs>
        <w:spacing w:before="120" w:after="120"/>
        <w:jc w:val="both"/>
        <w:rPr>
          <w:rFonts w:cstheme="minorHAnsi"/>
          <w:noProof/>
        </w:rPr>
      </w:pPr>
      <w:r w:rsidRPr="0086255B">
        <w:rPr>
          <w:rFonts w:cstheme="minorHAnsi"/>
          <w:noProof/>
        </w:rPr>
        <w:tab/>
      </w:r>
    </w:p>
    <w:p w14:paraId="6ED98B61" w14:textId="77777777" w:rsidR="00211F70" w:rsidRPr="0086255B" w:rsidRDefault="00211F70" w:rsidP="00211F70">
      <w:pPr>
        <w:pStyle w:val="Point2letter"/>
        <w:numPr>
          <w:ilvl w:val="5"/>
          <w:numId w:val="12"/>
        </w:numPr>
        <w:tabs>
          <w:tab w:val="clear" w:pos="1984"/>
        </w:tabs>
        <w:ind w:left="720" w:hanging="360"/>
        <w:rPr>
          <w:rFonts w:asciiTheme="minorHAnsi" w:hAnsiTheme="minorHAnsi" w:cstheme="minorHAnsi"/>
          <w:sz w:val="22"/>
        </w:rPr>
      </w:pPr>
      <w:r w:rsidRPr="0086255B">
        <w:rPr>
          <w:rFonts w:asciiTheme="minorHAnsi" w:hAnsiTheme="minorHAnsi" w:cstheme="minorHAnsi"/>
          <w:sz w:val="22"/>
        </w:rPr>
        <w:t>ukoliko prijavljena mjera podstiče nova ulaganja u proizvodnju energije zasnovanu na prirodnom gasu, objasnite na koji način će mjera doprinijeti ostvarivanju klimatskog cilja Unije za 2030. godinu i cilja klimatske neutralnosti do 2050. godine. Posebno objasnite kako će se izbjeći stvaranje vezanosti za proizvodnje električne energije na bazi prirodnog gasa ili opreme za takvu proizvodnju.</w:t>
      </w:r>
    </w:p>
    <w:p w14:paraId="2AC503DF" w14:textId="77777777" w:rsidR="00211F70" w:rsidRDefault="00211F70" w:rsidP="00211F70">
      <w:pPr>
        <w:spacing w:before="120" w:after="120"/>
        <w:jc w:val="both"/>
        <w:rPr>
          <w:rFonts w:cstheme="minorHAnsi"/>
        </w:rPr>
      </w:pPr>
      <w:r w:rsidRPr="0086255B">
        <w:rPr>
          <w:rFonts w:cstheme="minorHAnsi"/>
        </w:rPr>
        <w:t>..................................................................................................................................................................</w:t>
      </w:r>
    </w:p>
    <w:p w14:paraId="633250C2" w14:textId="77777777" w:rsidR="00211F70" w:rsidRPr="0086255B" w:rsidRDefault="00211F70" w:rsidP="00211F70">
      <w:pPr>
        <w:tabs>
          <w:tab w:val="left" w:leader="dot" w:pos="9072"/>
        </w:tabs>
        <w:spacing w:before="120" w:after="120"/>
        <w:jc w:val="both"/>
        <w:rPr>
          <w:rFonts w:cstheme="minorHAnsi"/>
          <w:noProof/>
        </w:rPr>
      </w:pPr>
      <w:r w:rsidRPr="0086255B">
        <w:rPr>
          <w:rFonts w:cstheme="minorHAnsi"/>
          <w:noProof/>
        </w:rPr>
        <w:tab/>
      </w:r>
    </w:p>
    <w:p w14:paraId="1C511F03" w14:textId="77777777" w:rsidR="00211F70" w:rsidRPr="0086255B" w:rsidRDefault="00211F70" w:rsidP="00211F70">
      <w:pPr>
        <w:pStyle w:val="NumPar1"/>
        <w:numPr>
          <w:ilvl w:val="0"/>
          <w:numId w:val="13"/>
        </w:numPr>
        <w:tabs>
          <w:tab w:val="clear" w:pos="850"/>
        </w:tabs>
        <w:ind w:left="360" w:hanging="360"/>
        <w:rPr>
          <w:rFonts w:asciiTheme="minorHAnsi" w:hAnsiTheme="minorHAnsi" w:cstheme="minorHAnsi"/>
          <w:sz w:val="22"/>
          <w:lang w:val="en-US"/>
        </w:rPr>
      </w:pPr>
      <w:r w:rsidRPr="0086255B">
        <w:rPr>
          <w:rFonts w:asciiTheme="minorHAnsi" w:hAnsiTheme="minorHAnsi" w:cstheme="minorHAnsi"/>
          <w:sz w:val="22"/>
        </w:rPr>
        <w:t xml:space="preserve">Za </w:t>
      </w:r>
      <w:proofErr w:type="spellStart"/>
      <w:r w:rsidRPr="0086255B">
        <w:rPr>
          <w:rFonts w:asciiTheme="minorHAnsi" w:hAnsiTheme="minorHAnsi" w:cstheme="minorHAnsi"/>
          <w:sz w:val="22"/>
        </w:rPr>
        <w:t>individulane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mjere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pomoći</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ili</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šeme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koje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koriste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samo</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posebno</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ograničenom</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broju</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korisnika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ili</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postojećem</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korisniku</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dodatno</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dokažite</w:t>
      </w:r>
      <w:proofErr w:type="spellEnd"/>
      <w:r w:rsidRPr="0086255B">
        <w:rPr>
          <w:rFonts w:asciiTheme="minorHAnsi" w:hAnsiTheme="minorHAnsi" w:cstheme="minorHAnsi"/>
          <w:sz w:val="22"/>
        </w:rPr>
        <w:t xml:space="preserve"> da </w:t>
      </w:r>
      <w:proofErr w:type="spellStart"/>
      <w:r w:rsidRPr="0086255B">
        <w:rPr>
          <w:rFonts w:asciiTheme="minorHAnsi" w:hAnsiTheme="minorHAnsi" w:cstheme="minorHAnsi"/>
          <w:sz w:val="22"/>
        </w:rPr>
        <w:t>predložena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mjera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pomoći</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neće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dovesti</w:t>
      </w:r>
      <w:proofErr w:type="spellEnd"/>
      <w:r w:rsidRPr="0086255B">
        <w:rPr>
          <w:rFonts w:asciiTheme="minorHAnsi" w:hAnsiTheme="minorHAnsi" w:cstheme="minorHAnsi"/>
          <w:sz w:val="22"/>
        </w:rPr>
        <w:t xml:space="preserve"> do </w:t>
      </w:r>
      <w:proofErr w:type="spellStart"/>
      <w:r w:rsidRPr="0086255B">
        <w:rPr>
          <w:rFonts w:asciiTheme="minorHAnsi" w:hAnsiTheme="minorHAnsi" w:cstheme="minorHAnsi"/>
          <w:sz w:val="22"/>
        </w:rPr>
        <w:t>povećanja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tržišne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moći</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tačka</w:t>
      </w:r>
      <w:proofErr w:type="spellEnd"/>
      <w:r w:rsidRPr="0086255B">
        <w:rPr>
          <w:rFonts w:asciiTheme="minorHAnsi" w:hAnsiTheme="minorHAnsi" w:cstheme="minorHAnsi"/>
          <w:sz w:val="22"/>
        </w:rPr>
        <w:t xml:space="preserve"> 370 CEEAG-a).</w:t>
      </w:r>
    </w:p>
    <w:p w14:paraId="6F1F6538" w14:textId="77777777" w:rsidR="00211F70" w:rsidRPr="0086255B" w:rsidRDefault="00211F70" w:rsidP="00211F70">
      <w:pPr>
        <w:tabs>
          <w:tab w:val="left" w:leader="dot" w:pos="9072"/>
        </w:tabs>
        <w:spacing w:before="120" w:after="120"/>
        <w:jc w:val="both"/>
        <w:rPr>
          <w:rFonts w:cstheme="minorHAnsi"/>
          <w:noProof/>
        </w:rPr>
      </w:pPr>
      <w:r w:rsidRPr="0086255B">
        <w:rPr>
          <w:rFonts w:cstheme="minorHAnsi"/>
          <w:noProof/>
        </w:rPr>
        <w:tab/>
      </w:r>
    </w:p>
    <w:p w14:paraId="227AF8DA" w14:textId="77777777" w:rsidR="00211F70" w:rsidRPr="0086255B" w:rsidRDefault="00211F70" w:rsidP="00211F70">
      <w:pPr>
        <w:tabs>
          <w:tab w:val="left" w:leader="dot" w:pos="9072"/>
        </w:tabs>
        <w:spacing w:before="120" w:after="120"/>
        <w:jc w:val="both"/>
        <w:rPr>
          <w:rFonts w:cstheme="minorHAnsi"/>
          <w:noProof/>
        </w:rPr>
      </w:pPr>
      <w:r w:rsidRPr="0086255B">
        <w:rPr>
          <w:rFonts w:cstheme="minorHAnsi"/>
          <w:noProof/>
        </w:rPr>
        <w:tab/>
      </w:r>
    </w:p>
    <w:tbl>
      <w:tblPr>
        <w:tblStyle w:val="TableGrid"/>
        <w:tblW w:w="5000" w:type="pct"/>
        <w:shd w:val="clear" w:color="auto" w:fill="BFBFBF" w:themeFill="background1" w:themeFillShade="BF"/>
        <w:tblLook w:val="04A0" w:firstRow="1" w:lastRow="0" w:firstColumn="1" w:lastColumn="0" w:noHBand="0" w:noVBand="1"/>
      </w:tblPr>
      <w:tblGrid>
        <w:gridCol w:w="9016"/>
      </w:tblGrid>
      <w:tr w:rsidR="00211F70" w:rsidRPr="0086255B" w14:paraId="1B7C67AD" w14:textId="77777777" w:rsidTr="00D507D9">
        <w:tc>
          <w:tcPr>
            <w:tcW w:w="5000" w:type="pct"/>
            <w:shd w:val="clear" w:color="auto" w:fill="BFBFBF" w:themeFill="background1" w:themeFillShade="BF"/>
          </w:tcPr>
          <w:p w14:paraId="62A97F10" w14:textId="77777777" w:rsidR="00211F70" w:rsidRPr="0086255B" w:rsidRDefault="00211F70" w:rsidP="00D507D9">
            <w:pPr>
              <w:tabs>
                <w:tab w:val="left" w:leader="dot" w:pos="9072"/>
              </w:tabs>
              <w:spacing w:before="120" w:after="120"/>
              <w:jc w:val="both"/>
              <w:rPr>
                <w:rFonts w:asciiTheme="minorHAnsi" w:hAnsiTheme="minorHAnsi" w:cstheme="minorHAnsi"/>
                <w:b/>
                <w:noProof/>
                <w:sz w:val="22"/>
                <w:szCs w:val="22"/>
              </w:rPr>
            </w:pPr>
            <w:r w:rsidRPr="0086255B">
              <w:rPr>
                <w:rFonts w:asciiTheme="minorHAnsi" w:hAnsiTheme="minorHAnsi" w:cstheme="minorHAnsi"/>
                <w:b/>
                <w:noProof/>
                <w:sz w:val="22"/>
                <w:szCs w:val="22"/>
              </w:rPr>
              <w:t>Odjeljak C: Evaluacija</w:t>
            </w:r>
          </w:p>
        </w:tc>
      </w:tr>
    </w:tbl>
    <w:p w14:paraId="0EA209AE" w14:textId="77777777" w:rsidR="00211F70" w:rsidRPr="0086255B" w:rsidRDefault="00211F70" w:rsidP="00211F70">
      <w:pPr>
        <w:spacing w:before="120" w:after="120"/>
        <w:jc w:val="both"/>
        <w:rPr>
          <w:rFonts w:cstheme="minorHAnsi"/>
          <w:i/>
          <w:iCs/>
          <w:noProof/>
        </w:rPr>
      </w:pPr>
      <w:r w:rsidRPr="0086255B">
        <w:rPr>
          <w:rFonts w:cstheme="minorHAnsi"/>
          <w:i/>
          <w:noProof/>
        </w:rPr>
        <w:t>Za unos podataka u ovom odjeljku vidjeti tačku 76 podtačka (a) i odjeljak 5 (tačke od 455 do 463) CEEAG-a.</w:t>
      </w:r>
    </w:p>
    <w:p w14:paraId="795A03AB" w14:textId="77777777" w:rsidR="00211F70" w:rsidRPr="0086255B" w:rsidRDefault="00211F70" w:rsidP="00211F70">
      <w:pPr>
        <w:pStyle w:val="NumPar1"/>
        <w:numPr>
          <w:ilvl w:val="0"/>
          <w:numId w:val="13"/>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lastRenderedPageBreak/>
        <w:t>Ako prijavljene mjere premašuju pragove budžeta/troškova iz tačke 456 CEEAG-a, objasnite zašto smatrate da bi trebalo primjeniti izuzetak iz tačke 457 CEEAG-a ili priložite uz ovaj obrazac prijave prilog koji sadrži nacrt plana evaluacije koji obuhvata područje primjene navedeno u tački 458 CEEAG-a</w:t>
      </w:r>
      <w:r w:rsidRPr="0086255B">
        <w:rPr>
          <w:rStyle w:val="FootnoteReference"/>
          <w:rFonts w:asciiTheme="minorHAnsi" w:hAnsiTheme="minorHAnsi" w:cstheme="minorHAnsi"/>
          <w:noProof/>
          <w:sz w:val="22"/>
          <w:lang w:eastAsia="en-GB"/>
        </w:rPr>
        <w:footnoteReference w:id="10"/>
      </w:r>
      <w:r w:rsidRPr="0086255B">
        <w:rPr>
          <w:rFonts w:asciiTheme="minorHAnsi" w:hAnsiTheme="minorHAnsi" w:cstheme="minorHAnsi"/>
          <w:noProof/>
          <w:sz w:val="22"/>
        </w:rPr>
        <w:t>.</w:t>
      </w:r>
    </w:p>
    <w:p w14:paraId="0D4B9E73" w14:textId="77777777" w:rsidR="00211F70" w:rsidRPr="0086255B" w:rsidRDefault="00211F70" w:rsidP="00211F70">
      <w:pPr>
        <w:tabs>
          <w:tab w:val="left" w:leader="dot" w:pos="9072"/>
        </w:tabs>
        <w:spacing w:before="120" w:after="120"/>
        <w:jc w:val="both"/>
        <w:rPr>
          <w:rFonts w:cstheme="minorHAnsi"/>
          <w:noProof/>
        </w:rPr>
      </w:pPr>
      <w:r w:rsidRPr="0086255B">
        <w:rPr>
          <w:rFonts w:cstheme="minorHAnsi"/>
          <w:noProof/>
        </w:rPr>
        <w:tab/>
      </w:r>
    </w:p>
    <w:p w14:paraId="290A67D6" w14:textId="77777777" w:rsidR="00211F70" w:rsidRPr="0086255B" w:rsidRDefault="00211F70" w:rsidP="00211F70">
      <w:pPr>
        <w:pStyle w:val="NumPar1"/>
        <w:numPr>
          <w:ilvl w:val="0"/>
          <w:numId w:val="13"/>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Ako je priložen nacrt plana evaluacije:</w:t>
      </w:r>
    </w:p>
    <w:p w14:paraId="0F3E5037" w14:textId="77777777" w:rsidR="00211F70" w:rsidRPr="0086255B" w:rsidRDefault="00211F70" w:rsidP="00211F70">
      <w:pPr>
        <w:pStyle w:val="Point1letter"/>
        <w:numPr>
          <w:ilvl w:val="3"/>
          <w:numId w:val="21"/>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navedite u nastavku rezime ovog nacrta plana evaluacije iz Priloga;</w:t>
      </w:r>
    </w:p>
    <w:p w14:paraId="64980ECB" w14:textId="77777777" w:rsidR="00211F70" w:rsidRPr="0086255B" w:rsidRDefault="00211F70" w:rsidP="00211F70">
      <w:pPr>
        <w:tabs>
          <w:tab w:val="left" w:leader="dot" w:pos="9072"/>
        </w:tabs>
        <w:spacing w:before="120" w:after="120"/>
        <w:jc w:val="both"/>
        <w:rPr>
          <w:rFonts w:cstheme="minorHAnsi"/>
          <w:noProof/>
        </w:rPr>
      </w:pPr>
      <w:r w:rsidRPr="0086255B">
        <w:rPr>
          <w:rFonts w:cstheme="minorHAnsi"/>
          <w:noProof/>
        </w:rPr>
        <w:tab/>
      </w:r>
    </w:p>
    <w:p w14:paraId="387C6028" w14:textId="77777777" w:rsidR="00211F70" w:rsidRPr="0086255B" w:rsidRDefault="00211F70" w:rsidP="00211F70">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potvrdite da će se poštovati tačka 460 CEEAG-a;</w:t>
      </w:r>
    </w:p>
    <w:p w14:paraId="1681B347" w14:textId="77777777" w:rsidR="00211F70" w:rsidRPr="0086255B" w:rsidRDefault="00211F70" w:rsidP="00211F70">
      <w:pPr>
        <w:tabs>
          <w:tab w:val="left" w:leader="dot" w:pos="9072"/>
        </w:tabs>
        <w:spacing w:before="120" w:after="120"/>
        <w:jc w:val="both"/>
        <w:rPr>
          <w:rFonts w:cstheme="minorHAnsi"/>
          <w:noProof/>
        </w:rPr>
      </w:pPr>
      <w:r w:rsidRPr="0086255B">
        <w:rPr>
          <w:rFonts w:cstheme="minorHAnsi"/>
          <w:noProof/>
        </w:rPr>
        <w:tab/>
      </w:r>
    </w:p>
    <w:p w14:paraId="08C76EFB" w14:textId="77777777" w:rsidR="00211F70" w:rsidRPr="0086255B" w:rsidRDefault="00211F70" w:rsidP="00211F70">
      <w:pPr>
        <w:pStyle w:val="Point1letter"/>
        <w:ind w:left="720" w:hanging="360"/>
        <w:rPr>
          <w:rFonts w:asciiTheme="minorHAnsi" w:hAnsiTheme="minorHAnsi" w:cstheme="minorHAnsi"/>
          <w:noProof/>
          <w:sz w:val="22"/>
        </w:rPr>
      </w:pPr>
      <w:r w:rsidRPr="0086255B">
        <w:rPr>
          <w:rFonts w:asciiTheme="minorHAnsi" w:hAnsiTheme="minorHAnsi" w:cstheme="minorHAnsi"/>
          <w:noProof/>
          <w:sz w:val="22"/>
        </w:rPr>
        <w:t>navedite datum i link na internet stranicu na kojoj će plan evaluacije biti javno dostupan.</w:t>
      </w:r>
    </w:p>
    <w:p w14:paraId="65F951E6" w14:textId="77777777" w:rsidR="00211F70" w:rsidRPr="0086255B" w:rsidRDefault="00211F70" w:rsidP="00211F70">
      <w:pPr>
        <w:tabs>
          <w:tab w:val="left" w:leader="dot" w:pos="9072"/>
        </w:tabs>
        <w:spacing w:before="120" w:after="120"/>
        <w:jc w:val="both"/>
        <w:rPr>
          <w:rFonts w:cstheme="minorHAnsi"/>
          <w:noProof/>
        </w:rPr>
      </w:pPr>
      <w:r w:rsidRPr="0086255B">
        <w:rPr>
          <w:rFonts w:cstheme="minorHAnsi"/>
          <w:noProof/>
        </w:rPr>
        <w:tab/>
      </w:r>
    </w:p>
    <w:p w14:paraId="28C7BFAB" w14:textId="77777777" w:rsidR="00211F70" w:rsidRPr="0086255B" w:rsidRDefault="00211F70" w:rsidP="00211F70">
      <w:pPr>
        <w:pStyle w:val="NumPar1"/>
        <w:numPr>
          <w:ilvl w:val="0"/>
          <w:numId w:val="13"/>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Kako bi se provjerila usklađenost sa tačkom 459 podtačka (b) CEEAG-a, ako za šemu pomoći nije potrebna </w:t>
      </w:r>
      <w:r w:rsidRPr="0086255B">
        <w:rPr>
          <w:rFonts w:asciiTheme="minorHAnsi" w:hAnsiTheme="minorHAnsi" w:cstheme="minorHAnsi"/>
          <w:i/>
          <w:noProof/>
          <w:sz w:val="22"/>
        </w:rPr>
        <w:t>ex post</w:t>
      </w:r>
      <w:r w:rsidRPr="0086255B">
        <w:rPr>
          <w:rFonts w:asciiTheme="minorHAnsi" w:hAnsiTheme="minorHAnsi" w:cstheme="minorHAnsi"/>
          <w:noProof/>
          <w:sz w:val="22"/>
        </w:rPr>
        <w:t xml:space="preserve"> evaluacija, a njeno trajanje prelazi tri godine, potvrdite da ćete dostaviti nacrt plana evaluacije u roku od 30 radnih dana nakon značajne izmjene kojom se budžet šeme povećava na više od 150 miliona EUR u bilo kojoj godini ili više od 750 miliona EUR tokom ukupnog trajanja šeme. </w:t>
      </w:r>
    </w:p>
    <w:p w14:paraId="1210D82B" w14:textId="77777777" w:rsidR="00211F70" w:rsidRPr="0086255B" w:rsidRDefault="00211F70" w:rsidP="00211F70">
      <w:pPr>
        <w:tabs>
          <w:tab w:val="left" w:leader="dot" w:pos="9072"/>
        </w:tabs>
        <w:spacing w:before="120" w:after="120"/>
        <w:jc w:val="both"/>
        <w:rPr>
          <w:rFonts w:cstheme="minorHAnsi"/>
          <w:noProof/>
        </w:rPr>
      </w:pPr>
      <w:r w:rsidRPr="0086255B">
        <w:rPr>
          <w:rFonts w:cstheme="minorHAnsi"/>
          <w:noProof/>
        </w:rPr>
        <w:tab/>
      </w:r>
    </w:p>
    <w:p w14:paraId="2B41A351" w14:textId="77777777" w:rsidR="00211F70" w:rsidRPr="0086255B" w:rsidRDefault="00211F70" w:rsidP="00211F70">
      <w:pPr>
        <w:pStyle w:val="NumPar1"/>
        <w:numPr>
          <w:ilvl w:val="0"/>
          <w:numId w:val="13"/>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Kako bi se provjerila usklađenost sa tačkom 459 podtačka (c) CEEAG-a, ako za šemu pomoći trenutno nije potrebna </w:t>
      </w:r>
      <w:r w:rsidRPr="0086255B">
        <w:rPr>
          <w:rFonts w:asciiTheme="minorHAnsi" w:hAnsiTheme="minorHAnsi" w:cstheme="minorHAnsi"/>
          <w:i/>
          <w:noProof/>
          <w:sz w:val="22"/>
        </w:rPr>
        <w:t>ex post</w:t>
      </w:r>
      <w:r w:rsidRPr="0086255B">
        <w:rPr>
          <w:rFonts w:asciiTheme="minorHAnsi" w:hAnsiTheme="minorHAnsi" w:cstheme="minorHAnsi"/>
          <w:noProof/>
          <w:sz w:val="22"/>
        </w:rPr>
        <w:t xml:space="preserve"> evaluacija, u nastavku potvrdite da se država članica obavezuje da dostavi nacrt plana evaluacije </w:t>
      </w:r>
      <w:r w:rsidRPr="0086255B">
        <w:rPr>
          <w:rFonts w:asciiTheme="minorHAnsi" w:hAnsiTheme="minorHAnsi" w:cstheme="minorHAnsi"/>
          <w:noProof/>
          <w:sz w:val="22"/>
          <w:shd w:val="clear" w:color="auto" w:fill="FFFFFF"/>
        </w:rPr>
        <w:t>u roku od 30 radnih dana nakon što se u zvaničnoj računovodstvenoj dokumentaciji proknjiže rashodi koji prelaze 150 miliona EUR u prethodnoj godinu.</w:t>
      </w:r>
      <w:r w:rsidRPr="0086255B">
        <w:rPr>
          <w:rFonts w:asciiTheme="minorHAnsi" w:hAnsiTheme="minorHAnsi" w:cstheme="minorHAnsi"/>
          <w:noProof/>
          <w:sz w:val="22"/>
        </w:rPr>
        <w:t xml:space="preserve"> </w:t>
      </w:r>
    </w:p>
    <w:p w14:paraId="10232F06" w14:textId="77777777" w:rsidR="00211F70" w:rsidRPr="0086255B" w:rsidRDefault="00211F70" w:rsidP="00211F70">
      <w:pPr>
        <w:tabs>
          <w:tab w:val="left" w:leader="dot" w:pos="9072"/>
        </w:tabs>
        <w:spacing w:before="120" w:after="120"/>
        <w:jc w:val="both"/>
        <w:rPr>
          <w:rFonts w:cstheme="minorHAnsi"/>
          <w:noProof/>
        </w:rPr>
      </w:pPr>
      <w:r w:rsidRPr="0086255B">
        <w:rPr>
          <w:rFonts w:cstheme="minorHAnsi"/>
          <w:noProof/>
        </w:rPr>
        <w:tab/>
      </w:r>
    </w:p>
    <w:p w14:paraId="30CFAF6E" w14:textId="77777777" w:rsidR="00211F70" w:rsidRPr="0086255B" w:rsidRDefault="00211F70" w:rsidP="00211F70">
      <w:pPr>
        <w:pStyle w:val="NumPar1"/>
        <w:numPr>
          <w:ilvl w:val="0"/>
          <w:numId w:val="13"/>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se potvrdila usklađenost sa tačkom 461 CEEAG-a:</w:t>
      </w:r>
    </w:p>
    <w:p w14:paraId="2A89D5EB" w14:textId="77777777" w:rsidR="00211F70" w:rsidRPr="0086255B" w:rsidRDefault="00211F70" w:rsidP="00211F70">
      <w:pPr>
        <w:pStyle w:val="Point1letter"/>
        <w:numPr>
          <w:ilvl w:val="3"/>
          <w:numId w:val="22"/>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navedite da li je nezavisni ekspert već odabran ili će biti odabran u budućnosti;</w:t>
      </w:r>
    </w:p>
    <w:p w14:paraId="04E072BD" w14:textId="77777777" w:rsidR="00211F70" w:rsidRPr="0086255B" w:rsidRDefault="00211F70" w:rsidP="00211F70">
      <w:pPr>
        <w:tabs>
          <w:tab w:val="left" w:leader="dot" w:pos="9072"/>
        </w:tabs>
        <w:spacing w:before="120" w:after="120"/>
        <w:jc w:val="both"/>
        <w:rPr>
          <w:rFonts w:cstheme="minorHAnsi"/>
          <w:noProof/>
        </w:rPr>
      </w:pPr>
      <w:r w:rsidRPr="0086255B">
        <w:rPr>
          <w:rFonts w:cstheme="minorHAnsi"/>
          <w:noProof/>
        </w:rPr>
        <w:tab/>
      </w:r>
    </w:p>
    <w:p w14:paraId="319E7263" w14:textId="77777777" w:rsidR="00211F70" w:rsidRPr="0086255B" w:rsidRDefault="00211F70" w:rsidP="00211F70">
      <w:pPr>
        <w:pStyle w:val="Point1letter"/>
        <w:ind w:left="720" w:hanging="360"/>
        <w:rPr>
          <w:rFonts w:asciiTheme="minorHAnsi" w:hAnsiTheme="minorHAnsi" w:cstheme="minorHAnsi"/>
          <w:noProof/>
          <w:sz w:val="22"/>
        </w:rPr>
      </w:pPr>
      <w:r w:rsidRPr="0086255B">
        <w:rPr>
          <w:rFonts w:asciiTheme="minorHAnsi" w:hAnsiTheme="minorHAnsi" w:cstheme="minorHAnsi"/>
          <w:noProof/>
          <w:sz w:val="22"/>
        </w:rPr>
        <w:t>unesite podatke o postupku odabira eksperta;</w:t>
      </w:r>
    </w:p>
    <w:p w14:paraId="2696FC82" w14:textId="77777777" w:rsidR="00211F70" w:rsidRPr="0086255B" w:rsidRDefault="00211F70" w:rsidP="00211F70">
      <w:pPr>
        <w:tabs>
          <w:tab w:val="left" w:leader="dot" w:pos="9072"/>
        </w:tabs>
        <w:spacing w:before="120" w:after="120"/>
        <w:jc w:val="both"/>
        <w:rPr>
          <w:rFonts w:cstheme="minorHAnsi"/>
          <w:noProof/>
        </w:rPr>
      </w:pPr>
      <w:r w:rsidRPr="0086255B">
        <w:rPr>
          <w:rFonts w:cstheme="minorHAnsi"/>
          <w:noProof/>
        </w:rPr>
        <w:tab/>
      </w:r>
    </w:p>
    <w:p w14:paraId="0961D814" w14:textId="77777777" w:rsidR="00211F70" w:rsidRPr="0086255B" w:rsidRDefault="00211F70" w:rsidP="00211F70">
      <w:pPr>
        <w:pStyle w:val="Point1letter"/>
        <w:ind w:left="720" w:hanging="360"/>
        <w:rPr>
          <w:rFonts w:asciiTheme="minorHAnsi" w:hAnsiTheme="minorHAnsi" w:cstheme="minorHAnsi"/>
          <w:noProof/>
          <w:sz w:val="22"/>
        </w:rPr>
      </w:pPr>
      <w:r w:rsidRPr="0086255B">
        <w:rPr>
          <w:rFonts w:asciiTheme="minorHAnsi" w:hAnsiTheme="minorHAnsi" w:cstheme="minorHAnsi"/>
          <w:noProof/>
          <w:sz w:val="22"/>
        </w:rPr>
        <w:t>obrazložite na koji je način ekspert nezavisan od nadležnog organa koji dodjeljuje pomoć.</w:t>
      </w:r>
    </w:p>
    <w:p w14:paraId="09AB2A5F" w14:textId="77777777" w:rsidR="00211F70" w:rsidRDefault="00211F70" w:rsidP="00211F70">
      <w:pPr>
        <w:tabs>
          <w:tab w:val="left" w:leader="dot" w:pos="9072"/>
        </w:tabs>
        <w:spacing w:before="120" w:after="120"/>
        <w:jc w:val="both"/>
        <w:rPr>
          <w:rFonts w:cstheme="minorHAnsi"/>
          <w:noProof/>
        </w:rPr>
      </w:pPr>
      <w:r w:rsidRPr="0086255B">
        <w:rPr>
          <w:rFonts w:cstheme="minorHAnsi"/>
          <w:noProof/>
        </w:rPr>
        <w:tab/>
      </w:r>
    </w:p>
    <w:p w14:paraId="06852D59" w14:textId="77777777" w:rsidR="00211F70" w:rsidRPr="0086255B" w:rsidRDefault="00211F70" w:rsidP="00211F70">
      <w:pPr>
        <w:tabs>
          <w:tab w:val="left" w:leader="dot" w:pos="9072"/>
        </w:tabs>
        <w:spacing w:before="120" w:after="120"/>
        <w:jc w:val="both"/>
        <w:rPr>
          <w:rFonts w:cstheme="minorHAnsi"/>
          <w:noProof/>
        </w:rPr>
      </w:pPr>
      <w:r w:rsidRPr="0086255B">
        <w:rPr>
          <w:rFonts w:cstheme="minorHAnsi"/>
          <w:noProof/>
        </w:rPr>
        <w:tab/>
      </w:r>
    </w:p>
    <w:p w14:paraId="3E29509A" w14:textId="77777777" w:rsidR="00211F70" w:rsidRPr="0086255B" w:rsidRDefault="00211F70" w:rsidP="00211F70">
      <w:pPr>
        <w:tabs>
          <w:tab w:val="left" w:leader="dot" w:pos="9072"/>
        </w:tabs>
        <w:spacing w:before="120" w:after="120"/>
        <w:jc w:val="both"/>
        <w:rPr>
          <w:rFonts w:cstheme="minorHAnsi"/>
          <w:noProof/>
        </w:rPr>
      </w:pPr>
    </w:p>
    <w:p w14:paraId="5205F04C" w14:textId="77777777" w:rsidR="00211F70" w:rsidRPr="0086255B" w:rsidRDefault="00211F70" w:rsidP="00211F70">
      <w:pPr>
        <w:pStyle w:val="NumPar1"/>
        <w:numPr>
          <w:ilvl w:val="0"/>
          <w:numId w:val="13"/>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Kako bi se potvrdila usklađenost sa tačkom 461 CEEAG-a: </w:t>
      </w:r>
    </w:p>
    <w:p w14:paraId="48E070F8" w14:textId="77777777" w:rsidR="00211F70" w:rsidRPr="0086255B" w:rsidRDefault="00211F70" w:rsidP="00211F70">
      <w:pPr>
        <w:pStyle w:val="Point2letter"/>
        <w:tabs>
          <w:tab w:val="clear" w:pos="1984"/>
        </w:tabs>
        <w:ind w:left="720" w:hanging="360"/>
        <w:rPr>
          <w:rFonts w:asciiTheme="minorHAnsi" w:hAnsiTheme="minorHAnsi" w:cstheme="minorHAnsi"/>
          <w:noProof/>
          <w:sz w:val="22"/>
        </w:rPr>
      </w:pPr>
      <w:r w:rsidRPr="0086255B">
        <w:rPr>
          <w:rFonts w:asciiTheme="minorHAnsi" w:hAnsiTheme="minorHAnsi" w:cstheme="minorHAnsi"/>
          <w:noProof/>
          <w:sz w:val="22"/>
        </w:rPr>
        <w:t xml:space="preserve">navedite predložene rokove za podnošenje privremenog i završnog izvještaja o evaluaciji. Napominjemo da se završni izvještaj o evaluaciji mora blagovremeno dostaviti Komisiji kako bi se omogućila procjena mogućeg produženja šeme pomoći, a najkasnije devet mjeseci prije </w:t>
      </w:r>
      <w:r w:rsidRPr="0086255B">
        <w:rPr>
          <w:rFonts w:asciiTheme="minorHAnsi" w:hAnsiTheme="minorHAnsi" w:cstheme="minorHAnsi"/>
          <w:noProof/>
          <w:sz w:val="22"/>
        </w:rPr>
        <w:lastRenderedPageBreak/>
        <w:t>isteka šeme, u skladu sa tačkom 463 CEEAG-a. Napominjemo i da bi se taj rok mogao skratiti za šeme kod kojih se zahtjev za evaluaciju aktivira u posljednje dvije godine njihove primjene;</w:t>
      </w:r>
    </w:p>
    <w:p w14:paraId="655AC05E" w14:textId="77777777" w:rsidR="00211F70" w:rsidRPr="0086255B" w:rsidRDefault="00211F70" w:rsidP="00211F70">
      <w:pPr>
        <w:tabs>
          <w:tab w:val="left" w:leader="dot" w:pos="9072"/>
        </w:tabs>
        <w:spacing w:before="120" w:after="120"/>
        <w:jc w:val="both"/>
        <w:rPr>
          <w:rFonts w:cstheme="minorHAnsi"/>
          <w:noProof/>
        </w:rPr>
      </w:pPr>
      <w:r w:rsidRPr="0086255B">
        <w:rPr>
          <w:rFonts w:cstheme="minorHAnsi"/>
          <w:noProof/>
        </w:rPr>
        <w:tab/>
      </w:r>
    </w:p>
    <w:p w14:paraId="6592D407" w14:textId="77777777" w:rsidR="00211F70" w:rsidRPr="0086255B" w:rsidRDefault="00211F70" w:rsidP="00211F70">
      <w:pPr>
        <w:pStyle w:val="Point2letter"/>
        <w:tabs>
          <w:tab w:val="clear" w:pos="1984"/>
        </w:tabs>
        <w:ind w:left="720" w:hanging="360"/>
        <w:rPr>
          <w:rFonts w:asciiTheme="minorHAnsi" w:hAnsiTheme="minorHAnsi" w:cstheme="minorHAnsi"/>
          <w:noProof/>
          <w:sz w:val="22"/>
        </w:rPr>
      </w:pPr>
      <w:r w:rsidRPr="0086255B">
        <w:rPr>
          <w:rFonts w:asciiTheme="minorHAnsi" w:hAnsiTheme="minorHAnsi" w:cstheme="minorHAnsi"/>
          <w:noProof/>
          <w:sz w:val="22"/>
        </w:rPr>
        <w:t>potvrdite da će privremeni i završni izvještaj o evaluaciji biti objavljen. Navedite datum i link na internet stranicu na kojoj će ovi izvještaji biti dostupni javnosti.</w:t>
      </w:r>
    </w:p>
    <w:p w14:paraId="4CDCF060" w14:textId="77777777" w:rsidR="00211F70" w:rsidRPr="0086255B" w:rsidRDefault="00211F70" w:rsidP="00211F70">
      <w:pPr>
        <w:tabs>
          <w:tab w:val="left" w:leader="dot" w:pos="9072"/>
        </w:tabs>
        <w:spacing w:before="120" w:after="120"/>
        <w:jc w:val="both"/>
        <w:rPr>
          <w:rFonts w:cstheme="minorHAnsi"/>
          <w:noProof/>
        </w:rPr>
      </w:pPr>
      <w:r w:rsidRPr="0086255B">
        <w:rPr>
          <w:rFonts w:cstheme="minorHAnsi"/>
          <w:noProof/>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016"/>
      </w:tblGrid>
      <w:tr w:rsidR="00211F70" w:rsidRPr="0086255B" w14:paraId="07720513" w14:textId="77777777" w:rsidTr="00D507D9">
        <w:tc>
          <w:tcPr>
            <w:tcW w:w="5000" w:type="pct"/>
            <w:shd w:val="pct15" w:color="auto" w:fill="auto"/>
          </w:tcPr>
          <w:p w14:paraId="52FE78ED" w14:textId="77777777" w:rsidR="00211F70" w:rsidRPr="0086255B" w:rsidRDefault="00211F70" w:rsidP="00D507D9">
            <w:pPr>
              <w:spacing w:before="120" w:after="120"/>
              <w:jc w:val="both"/>
              <w:rPr>
                <w:rFonts w:cstheme="minorHAnsi"/>
                <w:b/>
                <w:iCs/>
                <w:noProof/>
                <w:lang w:eastAsia="hr-HR" w:bidi="hr-HR"/>
              </w:rPr>
            </w:pPr>
            <w:r w:rsidRPr="0086255B">
              <w:rPr>
                <w:rFonts w:cstheme="minorHAnsi"/>
                <w:b/>
                <w:noProof/>
                <w:lang w:eastAsia="hr-HR" w:bidi="hr-HR"/>
              </w:rPr>
              <w:t>Odjeljak D: Izvještavanje i praćenje</w:t>
            </w:r>
          </w:p>
        </w:tc>
      </w:tr>
    </w:tbl>
    <w:p w14:paraId="3C396FBC" w14:textId="77777777" w:rsidR="00211F70" w:rsidRPr="0086255B" w:rsidRDefault="00211F70" w:rsidP="00211F70">
      <w:pPr>
        <w:spacing w:before="120" w:after="120"/>
        <w:jc w:val="both"/>
        <w:rPr>
          <w:rFonts w:cstheme="minorHAnsi"/>
          <w:i/>
          <w:iCs/>
          <w:noProof/>
        </w:rPr>
      </w:pPr>
      <w:r w:rsidRPr="0086255B">
        <w:rPr>
          <w:rFonts w:cstheme="minorHAnsi"/>
          <w:i/>
          <w:noProof/>
        </w:rPr>
        <w:t>Za unos podataka u ovom odjeljku vidjeti odjeljak 6 (tačke 464 i 465) CEEAG-a.</w:t>
      </w:r>
    </w:p>
    <w:p w14:paraId="0280643B" w14:textId="77777777" w:rsidR="00211F70" w:rsidRPr="0086255B" w:rsidRDefault="00211F70" w:rsidP="00211F70">
      <w:pPr>
        <w:pStyle w:val="NumPar1"/>
        <w:numPr>
          <w:ilvl w:val="0"/>
          <w:numId w:val="13"/>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Potvrdite da će država članica ispuniti zahtjeve za izvještavanje i praćenje iz odjeljka 6 tačke 464 i 465 CEEAG-a.</w:t>
      </w:r>
    </w:p>
    <w:p w14:paraId="6F4BF9B1" w14:textId="77777777" w:rsidR="00211F70" w:rsidRPr="00211F70" w:rsidRDefault="00211F70" w:rsidP="00211F70">
      <w:pPr>
        <w:tabs>
          <w:tab w:val="left" w:leader="dot" w:pos="9072"/>
        </w:tabs>
        <w:spacing w:after="120"/>
        <w:rPr>
          <w:rFonts w:cstheme="minorHAnsi"/>
          <w:noProof/>
        </w:rPr>
        <w:sectPr w:rsidR="00211F70" w:rsidRPr="00211F70" w:rsidSect="00685C3E">
          <w:footnotePr>
            <w:numRestart w:val="eachSect"/>
          </w:footnotePr>
          <w:pgSz w:w="11906" w:h="16838" w:code="9"/>
          <w:pgMar w:top="1440" w:right="1440" w:bottom="1440" w:left="1440" w:header="708" w:footer="708" w:gutter="0"/>
          <w:cols w:space="708"/>
          <w:docGrid w:linePitch="360"/>
        </w:sectPr>
      </w:pPr>
      <w:r w:rsidRPr="00211F70">
        <w:rPr>
          <w:rFonts w:cstheme="minorHAnsi"/>
          <w:noProof/>
        </w:rPr>
        <w:tab/>
      </w:r>
    </w:p>
    <w:p w14:paraId="00D04A75" w14:textId="3AD28246" w:rsidR="001E27D7" w:rsidRDefault="001E27D7" w:rsidP="00211F70">
      <w:bookmarkStart w:id="1" w:name="_GoBack"/>
      <w:bookmarkEnd w:id="1"/>
    </w:p>
    <w:sectPr w:rsidR="001E27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C36618" w14:textId="77777777" w:rsidR="0025554E" w:rsidRDefault="0025554E" w:rsidP="00211F70">
      <w:pPr>
        <w:spacing w:after="0" w:line="240" w:lineRule="auto"/>
      </w:pPr>
      <w:r>
        <w:separator/>
      </w:r>
    </w:p>
  </w:endnote>
  <w:endnote w:type="continuationSeparator" w:id="0">
    <w:p w14:paraId="611C8FF9" w14:textId="77777777" w:rsidR="0025554E" w:rsidRDefault="0025554E" w:rsidP="00211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2BC82" w14:textId="77777777" w:rsidR="0025554E" w:rsidRDefault="0025554E" w:rsidP="00211F70">
      <w:pPr>
        <w:spacing w:after="0" w:line="240" w:lineRule="auto"/>
      </w:pPr>
      <w:r>
        <w:separator/>
      </w:r>
    </w:p>
  </w:footnote>
  <w:footnote w:type="continuationSeparator" w:id="0">
    <w:p w14:paraId="73FEDE01" w14:textId="77777777" w:rsidR="0025554E" w:rsidRDefault="0025554E" w:rsidP="00211F70">
      <w:pPr>
        <w:spacing w:after="0" w:line="240" w:lineRule="auto"/>
      </w:pPr>
      <w:r>
        <w:continuationSeparator/>
      </w:r>
    </w:p>
  </w:footnote>
  <w:footnote w:id="1">
    <w:p w14:paraId="7F3B982C" w14:textId="77777777" w:rsidR="00211F70" w:rsidRPr="004E6EC5" w:rsidRDefault="00211F70" w:rsidP="00211F70">
      <w:pPr>
        <w:pStyle w:val="FootnoteText"/>
        <w:spacing w:before="0"/>
        <w:ind w:left="0" w:firstLine="0"/>
        <w:contextualSpacing/>
        <w:rPr>
          <w:rFonts w:asciiTheme="minorHAnsi" w:hAnsiTheme="minorHAnsi" w:cstheme="minorHAnsi"/>
        </w:rPr>
      </w:pPr>
      <w:r w:rsidRPr="001D3786">
        <w:rPr>
          <w:rStyle w:val="FootnoteReference"/>
          <w:rFonts w:asciiTheme="minorHAnsi" w:hAnsiTheme="minorHAnsi" w:cstheme="minorHAnsi"/>
        </w:rPr>
        <w:footnoteRef/>
      </w:r>
      <w:r>
        <w:rPr>
          <w:rFonts w:asciiTheme="minorHAnsi" w:hAnsiTheme="minorHAnsi" w:cstheme="minorHAnsi"/>
        </w:rPr>
        <w:t xml:space="preserve"> </w:t>
      </w:r>
      <w:proofErr w:type="spellStart"/>
      <w:r w:rsidRPr="001D3786">
        <w:rPr>
          <w:rFonts w:asciiTheme="minorHAnsi" w:hAnsiTheme="minorHAnsi" w:cstheme="minorHAnsi"/>
        </w:rPr>
        <w:t>Napominjemo</w:t>
      </w:r>
      <w:proofErr w:type="spellEnd"/>
      <w:r w:rsidRPr="001D3786">
        <w:rPr>
          <w:rFonts w:asciiTheme="minorHAnsi" w:hAnsiTheme="minorHAnsi" w:cstheme="minorHAnsi"/>
        </w:rPr>
        <w:t xml:space="preserve"> da se za </w:t>
      </w:r>
      <w:proofErr w:type="spellStart"/>
      <w:r w:rsidRPr="001D3786">
        <w:rPr>
          <w:rFonts w:asciiTheme="minorHAnsi" w:hAnsiTheme="minorHAnsi" w:cstheme="minorHAnsi"/>
        </w:rPr>
        <w:t>šemu</w:t>
      </w:r>
      <w:proofErr w:type="spellEnd"/>
      <w:r w:rsidRPr="001D3786">
        <w:rPr>
          <w:rFonts w:asciiTheme="minorHAnsi" w:hAnsiTheme="minorHAnsi" w:cstheme="minorHAnsi"/>
        </w:rPr>
        <w:t xml:space="preserve"> </w:t>
      </w:r>
      <w:proofErr w:type="spellStart"/>
      <w:r w:rsidRPr="001D3786">
        <w:rPr>
          <w:rFonts w:asciiTheme="minorHAnsi" w:hAnsiTheme="minorHAnsi" w:cstheme="minorHAnsi"/>
        </w:rPr>
        <w:t>pomoći</w:t>
      </w:r>
      <w:proofErr w:type="spellEnd"/>
      <w:r w:rsidRPr="001D3786">
        <w:rPr>
          <w:rFonts w:asciiTheme="minorHAnsi" w:hAnsiTheme="minorHAnsi" w:cstheme="minorHAnsi"/>
        </w:rPr>
        <w:t xml:space="preserve"> </w:t>
      </w:r>
      <w:proofErr w:type="spellStart"/>
      <w:r w:rsidRPr="001D3786">
        <w:rPr>
          <w:rFonts w:asciiTheme="minorHAnsi" w:hAnsiTheme="minorHAnsi" w:cstheme="minorHAnsi"/>
        </w:rPr>
        <w:t>trajanje</w:t>
      </w:r>
      <w:proofErr w:type="spellEnd"/>
      <w:r w:rsidRPr="001D3786">
        <w:rPr>
          <w:rFonts w:asciiTheme="minorHAnsi" w:hAnsiTheme="minorHAnsi" w:cstheme="minorHAnsi"/>
        </w:rPr>
        <w:t xml:space="preserve"> </w:t>
      </w:r>
      <w:proofErr w:type="spellStart"/>
      <w:r w:rsidRPr="001D3786">
        <w:rPr>
          <w:rFonts w:asciiTheme="minorHAnsi" w:hAnsiTheme="minorHAnsi" w:cstheme="minorHAnsi"/>
        </w:rPr>
        <w:t>odnosi</w:t>
      </w:r>
      <w:proofErr w:type="spellEnd"/>
      <w:r w:rsidRPr="001D3786">
        <w:rPr>
          <w:rFonts w:asciiTheme="minorHAnsi" w:hAnsiTheme="minorHAnsi" w:cstheme="minorHAnsi"/>
        </w:rPr>
        <w:t xml:space="preserve"> </w:t>
      </w:r>
      <w:proofErr w:type="spellStart"/>
      <w:r w:rsidRPr="001D3786">
        <w:rPr>
          <w:rFonts w:asciiTheme="minorHAnsi" w:hAnsiTheme="minorHAnsi" w:cstheme="minorHAnsi"/>
        </w:rPr>
        <w:t>na</w:t>
      </w:r>
      <w:proofErr w:type="spellEnd"/>
      <w:r w:rsidRPr="001D3786">
        <w:rPr>
          <w:rFonts w:asciiTheme="minorHAnsi" w:hAnsiTheme="minorHAnsi" w:cstheme="minorHAnsi"/>
        </w:rPr>
        <w:t xml:space="preserve"> period </w:t>
      </w:r>
      <w:proofErr w:type="spellStart"/>
      <w:r w:rsidRPr="001D3786">
        <w:rPr>
          <w:rFonts w:asciiTheme="minorHAnsi" w:hAnsiTheme="minorHAnsi" w:cstheme="minorHAnsi"/>
        </w:rPr>
        <w:t>tokom</w:t>
      </w:r>
      <w:proofErr w:type="spellEnd"/>
      <w:r w:rsidRPr="001D3786">
        <w:rPr>
          <w:rFonts w:asciiTheme="minorHAnsi" w:hAnsiTheme="minorHAnsi" w:cstheme="minorHAnsi"/>
        </w:rPr>
        <w:t xml:space="preserve"> </w:t>
      </w:r>
      <w:proofErr w:type="spellStart"/>
      <w:r w:rsidRPr="001D3786">
        <w:rPr>
          <w:rFonts w:asciiTheme="minorHAnsi" w:hAnsiTheme="minorHAnsi" w:cstheme="minorHAnsi"/>
        </w:rPr>
        <w:t>kojeg</w:t>
      </w:r>
      <w:proofErr w:type="spellEnd"/>
      <w:r w:rsidRPr="001D3786">
        <w:rPr>
          <w:rFonts w:asciiTheme="minorHAnsi" w:hAnsiTheme="minorHAnsi" w:cstheme="minorHAnsi"/>
        </w:rPr>
        <w:t xml:space="preserve"> se </w:t>
      </w:r>
      <w:proofErr w:type="spellStart"/>
      <w:r w:rsidRPr="001D3786">
        <w:rPr>
          <w:rFonts w:asciiTheme="minorHAnsi" w:hAnsiTheme="minorHAnsi" w:cstheme="minorHAnsi"/>
        </w:rPr>
        <w:t>može</w:t>
      </w:r>
      <w:proofErr w:type="spellEnd"/>
      <w:r w:rsidRPr="001D3786">
        <w:rPr>
          <w:rFonts w:asciiTheme="minorHAnsi" w:hAnsiTheme="minorHAnsi" w:cstheme="minorHAnsi"/>
        </w:rPr>
        <w:t xml:space="preserve"> </w:t>
      </w:r>
      <w:proofErr w:type="spellStart"/>
      <w:r w:rsidRPr="001D3786">
        <w:rPr>
          <w:rFonts w:asciiTheme="minorHAnsi" w:hAnsiTheme="minorHAnsi" w:cstheme="minorHAnsi"/>
        </w:rPr>
        <w:t>podnijeti</w:t>
      </w:r>
      <w:proofErr w:type="spellEnd"/>
      <w:r w:rsidRPr="001D3786">
        <w:rPr>
          <w:rFonts w:asciiTheme="minorHAnsi" w:hAnsiTheme="minorHAnsi" w:cstheme="minorHAnsi"/>
        </w:rPr>
        <w:t xml:space="preserve"> </w:t>
      </w:r>
      <w:proofErr w:type="spellStart"/>
      <w:r w:rsidRPr="001D3786">
        <w:rPr>
          <w:rFonts w:asciiTheme="minorHAnsi" w:hAnsiTheme="minorHAnsi" w:cstheme="minorHAnsi"/>
        </w:rPr>
        <w:t>zahtjev</w:t>
      </w:r>
      <w:proofErr w:type="spellEnd"/>
      <w:r w:rsidRPr="001D3786">
        <w:rPr>
          <w:rFonts w:asciiTheme="minorHAnsi" w:hAnsiTheme="minorHAnsi" w:cstheme="minorHAnsi"/>
        </w:rPr>
        <w:t xml:space="preserve"> za </w:t>
      </w:r>
      <w:proofErr w:type="spellStart"/>
      <w:r w:rsidRPr="001D3786">
        <w:rPr>
          <w:rFonts w:asciiTheme="minorHAnsi" w:hAnsiTheme="minorHAnsi" w:cstheme="minorHAnsi"/>
        </w:rPr>
        <w:t>pomoć</w:t>
      </w:r>
      <w:proofErr w:type="spellEnd"/>
      <w:r w:rsidRPr="004E6EC5">
        <w:rPr>
          <w:rFonts w:asciiTheme="minorHAnsi" w:hAnsiTheme="minorHAnsi" w:cstheme="minorHAnsi"/>
        </w:rPr>
        <w:t xml:space="preserve"> i u </w:t>
      </w:r>
      <w:proofErr w:type="spellStart"/>
      <w:r w:rsidRPr="004E6EC5">
        <w:rPr>
          <w:rFonts w:asciiTheme="minorHAnsi" w:hAnsiTheme="minorHAnsi" w:cstheme="minorHAnsi"/>
        </w:rPr>
        <w:t>kojem</w:t>
      </w:r>
      <w:proofErr w:type="spellEnd"/>
      <w:r w:rsidRPr="004E6EC5">
        <w:rPr>
          <w:rFonts w:asciiTheme="minorHAnsi" w:hAnsiTheme="minorHAnsi" w:cstheme="minorHAnsi"/>
        </w:rPr>
        <w:t xml:space="preserve"> se o </w:t>
      </w:r>
      <w:proofErr w:type="spellStart"/>
      <w:r w:rsidRPr="004E6EC5">
        <w:rPr>
          <w:rFonts w:asciiTheme="minorHAnsi" w:hAnsiTheme="minorHAnsi" w:cstheme="minorHAnsi"/>
        </w:rPr>
        <w:t>njemu</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odlučuje</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uključujući</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vrijeme</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koje</w:t>
      </w:r>
      <w:proofErr w:type="spellEnd"/>
      <w:r w:rsidRPr="004E6EC5">
        <w:rPr>
          <w:rFonts w:asciiTheme="minorHAnsi" w:hAnsiTheme="minorHAnsi" w:cstheme="minorHAnsi"/>
        </w:rPr>
        <w:t xml:space="preserve"> je </w:t>
      </w:r>
      <w:proofErr w:type="spellStart"/>
      <w:r w:rsidRPr="004E6EC5">
        <w:rPr>
          <w:rFonts w:asciiTheme="minorHAnsi" w:hAnsiTheme="minorHAnsi" w:cstheme="minorHAnsi"/>
        </w:rPr>
        <w:t>nacionalnim</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organima</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potrebno</w:t>
      </w:r>
      <w:proofErr w:type="spellEnd"/>
      <w:r w:rsidRPr="004E6EC5">
        <w:rPr>
          <w:rFonts w:asciiTheme="minorHAnsi" w:hAnsiTheme="minorHAnsi" w:cstheme="minorHAnsi"/>
        </w:rPr>
        <w:t xml:space="preserve"> za </w:t>
      </w:r>
      <w:proofErr w:type="spellStart"/>
      <w:r w:rsidRPr="004E6EC5">
        <w:rPr>
          <w:rFonts w:asciiTheme="minorHAnsi" w:hAnsiTheme="minorHAnsi" w:cstheme="minorHAnsi"/>
        </w:rPr>
        <w:t>odobravanje</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zahtjeva</w:t>
      </w:r>
      <w:proofErr w:type="spellEnd"/>
      <w:r w:rsidRPr="004E6EC5">
        <w:rPr>
          <w:rFonts w:asciiTheme="minorHAnsi" w:hAnsiTheme="minorHAnsi" w:cstheme="minorHAnsi"/>
        </w:rPr>
        <w:t xml:space="preserve"> za </w:t>
      </w:r>
      <w:proofErr w:type="spellStart"/>
      <w:r w:rsidRPr="004E6EC5">
        <w:rPr>
          <w:rFonts w:asciiTheme="minorHAnsi" w:hAnsiTheme="minorHAnsi" w:cstheme="minorHAnsi"/>
        </w:rPr>
        <w:t>pomoć</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Trajanje</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navedeno</w:t>
      </w:r>
      <w:proofErr w:type="spellEnd"/>
      <w:r w:rsidRPr="004E6EC5">
        <w:rPr>
          <w:rFonts w:asciiTheme="minorHAnsi" w:hAnsiTheme="minorHAnsi" w:cstheme="minorHAnsi"/>
        </w:rPr>
        <w:t xml:space="preserve"> u </w:t>
      </w:r>
      <w:proofErr w:type="spellStart"/>
      <w:r w:rsidRPr="004E6EC5">
        <w:rPr>
          <w:rFonts w:asciiTheme="minorHAnsi" w:hAnsiTheme="minorHAnsi" w:cstheme="minorHAnsi"/>
        </w:rPr>
        <w:t>ovom</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pitanju</w:t>
      </w:r>
      <w:proofErr w:type="spellEnd"/>
      <w:r w:rsidRPr="004E6EC5">
        <w:rPr>
          <w:rFonts w:asciiTheme="minorHAnsi" w:hAnsiTheme="minorHAnsi" w:cstheme="minorHAnsi"/>
        </w:rPr>
        <w:t xml:space="preserve"> ne </w:t>
      </w:r>
      <w:proofErr w:type="spellStart"/>
      <w:r w:rsidRPr="004E6EC5">
        <w:rPr>
          <w:rFonts w:asciiTheme="minorHAnsi" w:hAnsiTheme="minorHAnsi" w:cstheme="minorHAnsi"/>
        </w:rPr>
        <w:t>odnosi</w:t>
      </w:r>
      <w:proofErr w:type="spellEnd"/>
      <w:r w:rsidRPr="004E6EC5">
        <w:rPr>
          <w:rFonts w:asciiTheme="minorHAnsi" w:hAnsiTheme="minorHAnsi" w:cstheme="minorHAnsi"/>
        </w:rPr>
        <w:t xml:space="preserve"> se </w:t>
      </w:r>
      <w:proofErr w:type="spellStart"/>
      <w:r w:rsidRPr="004E6EC5">
        <w:rPr>
          <w:rFonts w:asciiTheme="minorHAnsi" w:hAnsiTheme="minorHAnsi" w:cstheme="minorHAnsi"/>
        </w:rPr>
        <w:t>na</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trajanje</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ugovora</w:t>
      </w:r>
      <w:proofErr w:type="spellEnd"/>
      <w:r w:rsidRPr="004E6EC5">
        <w:rPr>
          <w:rFonts w:asciiTheme="minorHAnsi" w:hAnsiTheme="minorHAnsi" w:cstheme="minorHAnsi"/>
        </w:rPr>
        <w:t xml:space="preserve"> </w:t>
      </w:r>
      <w:proofErr w:type="spellStart"/>
      <w:r>
        <w:rPr>
          <w:rFonts w:asciiTheme="minorHAnsi" w:hAnsiTheme="minorHAnsi" w:cstheme="minorHAnsi"/>
        </w:rPr>
        <w:t>zaključenih</w:t>
      </w:r>
      <w:proofErr w:type="spellEnd"/>
      <w:r>
        <w:rPr>
          <w:rFonts w:asciiTheme="minorHAnsi" w:hAnsiTheme="minorHAnsi" w:cstheme="minorHAnsi"/>
        </w:rPr>
        <w:t xml:space="preserve"> </w:t>
      </w:r>
      <w:r w:rsidRPr="004E6EC5">
        <w:rPr>
          <w:rFonts w:asciiTheme="minorHAnsi" w:hAnsiTheme="minorHAnsi" w:cstheme="minorHAnsi"/>
        </w:rPr>
        <w:t xml:space="preserve">u </w:t>
      </w:r>
      <w:proofErr w:type="spellStart"/>
      <w:r w:rsidRPr="004E6EC5">
        <w:rPr>
          <w:rFonts w:asciiTheme="minorHAnsi" w:hAnsiTheme="minorHAnsi" w:cstheme="minorHAnsi"/>
        </w:rPr>
        <w:t>okviru</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šeme</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pomoći</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koj</w:t>
      </w:r>
      <w:r>
        <w:rPr>
          <w:rFonts w:asciiTheme="minorHAnsi" w:hAnsiTheme="minorHAnsi" w:cstheme="minorHAnsi"/>
        </w:rPr>
        <w:t>a</w:t>
      </w:r>
      <w:proofErr w:type="spellEnd"/>
      <w:r w:rsidRPr="004E6EC5">
        <w:rPr>
          <w:rFonts w:asciiTheme="minorHAnsi" w:hAnsiTheme="minorHAnsi" w:cstheme="minorHAnsi"/>
        </w:rPr>
        <w:t xml:space="preserve"> se </w:t>
      </w:r>
      <w:proofErr w:type="spellStart"/>
      <w:r w:rsidRPr="004E6EC5">
        <w:rPr>
          <w:rFonts w:asciiTheme="minorHAnsi" w:hAnsiTheme="minorHAnsi" w:cstheme="minorHAnsi"/>
        </w:rPr>
        <w:t>može</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nastaviti</w:t>
      </w:r>
      <w:proofErr w:type="spellEnd"/>
      <w:r w:rsidRPr="004E6EC5">
        <w:rPr>
          <w:rFonts w:asciiTheme="minorHAnsi" w:hAnsiTheme="minorHAnsi" w:cstheme="minorHAnsi"/>
        </w:rPr>
        <w:t xml:space="preserve"> i </w:t>
      </w:r>
      <w:proofErr w:type="spellStart"/>
      <w:r w:rsidRPr="004E6EC5">
        <w:rPr>
          <w:rFonts w:asciiTheme="minorHAnsi" w:hAnsiTheme="minorHAnsi" w:cstheme="minorHAnsi"/>
        </w:rPr>
        <w:t>nakon</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isteka</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mjere</w:t>
      </w:r>
      <w:proofErr w:type="spellEnd"/>
      <w:r w:rsidRPr="004E6EC5">
        <w:rPr>
          <w:rFonts w:asciiTheme="minorHAnsi" w:hAnsiTheme="minorHAnsi" w:cstheme="minorHAnsi"/>
        </w:rPr>
        <w:t>.</w:t>
      </w:r>
    </w:p>
  </w:footnote>
  <w:footnote w:id="2">
    <w:p w14:paraId="2C49C64C" w14:textId="77777777" w:rsidR="00211F70" w:rsidRPr="009960B4" w:rsidRDefault="00211F70" w:rsidP="00211F70">
      <w:pPr>
        <w:pStyle w:val="FootnoteText"/>
        <w:spacing w:before="0"/>
        <w:ind w:left="0" w:firstLine="0"/>
        <w:rPr>
          <w:rFonts w:asciiTheme="minorHAnsi" w:hAnsiTheme="minorHAnsi" w:cstheme="minorHAnsi"/>
        </w:rPr>
      </w:pPr>
      <w:r w:rsidRPr="009960B4">
        <w:rPr>
          <w:rStyle w:val="FootnoteReference"/>
          <w:rFonts w:asciiTheme="minorHAnsi" w:hAnsiTheme="minorHAnsi" w:cstheme="minorHAnsi"/>
        </w:rPr>
        <w:footnoteRef/>
      </w:r>
      <w:r w:rsidRPr="009960B4">
        <w:rPr>
          <w:rFonts w:asciiTheme="minorHAnsi" w:hAnsiTheme="minorHAnsi" w:cstheme="minorHAnsi"/>
        </w:rPr>
        <w:tab/>
      </w:r>
      <w:proofErr w:type="spellStart"/>
      <w:r w:rsidRPr="009960B4">
        <w:rPr>
          <w:rFonts w:asciiTheme="minorHAnsi" w:hAnsiTheme="minorHAnsi" w:cstheme="minorHAnsi"/>
        </w:rPr>
        <w:t>Napominjemo</w:t>
      </w:r>
      <w:proofErr w:type="spellEnd"/>
      <w:r w:rsidRPr="009960B4">
        <w:rPr>
          <w:rFonts w:asciiTheme="minorHAnsi" w:hAnsiTheme="minorHAnsi" w:cstheme="minorHAnsi"/>
        </w:rPr>
        <w:t xml:space="preserve"> da </w:t>
      </w:r>
      <w:proofErr w:type="spellStart"/>
      <w:r w:rsidRPr="009960B4">
        <w:rPr>
          <w:rFonts w:asciiTheme="minorHAnsi" w:hAnsiTheme="minorHAnsi" w:cstheme="minorHAnsi"/>
        </w:rPr>
        <w:t>promjena</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stvarnog</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ili</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procijenjenog</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budžeta</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može</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predstavljati</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izmjenu</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pomoći</w:t>
      </w:r>
      <w:proofErr w:type="spellEnd"/>
      <w:r w:rsidRPr="009960B4">
        <w:rPr>
          <w:rFonts w:asciiTheme="minorHAnsi" w:hAnsiTheme="minorHAnsi" w:cstheme="minorHAnsi"/>
        </w:rPr>
        <w:t xml:space="preserve"> za </w:t>
      </w:r>
      <w:proofErr w:type="spellStart"/>
      <w:r w:rsidRPr="009960B4">
        <w:rPr>
          <w:rFonts w:asciiTheme="minorHAnsi" w:hAnsiTheme="minorHAnsi" w:cstheme="minorHAnsi"/>
        </w:rPr>
        <w:t>koju</w:t>
      </w:r>
      <w:proofErr w:type="spellEnd"/>
      <w:r w:rsidRPr="009960B4">
        <w:rPr>
          <w:rFonts w:asciiTheme="minorHAnsi" w:hAnsiTheme="minorHAnsi" w:cstheme="minorHAnsi"/>
        </w:rPr>
        <w:t xml:space="preserve"> je </w:t>
      </w:r>
      <w:proofErr w:type="spellStart"/>
      <w:r w:rsidRPr="009960B4">
        <w:rPr>
          <w:rFonts w:asciiTheme="minorHAnsi" w:hAnsiTheme="minorHAnsi" w:cstheme="minorHAnsi"/>
        </w:rPr>
        <w:t>potrebno</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podnijeti</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novu</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prijavu</w:t>
      </w:r>
      <w:proofErr w:type="spellEnd"/>
      <w:r w:rsidRPr="009960B4">
        <w:rPr>
          <w:rFonts w:asciiTheme="minorHAnsi" w:hAnsiTheme="minorHAnsi" w:cstheme="minorHAnsi"/>
        </w:rPr>
        <w:t>.</w:t>
      </w:r>
    </w:p>
  </w:footnote>
  <w:footnote w:id="3">
    <w:p w14:paraId="25492442" w14:textId="77777777" w:rsidR="00211F70" w:rsidRPr="00461FE3" w:rsidRDefault="00211F70" w:rsidP="00211F70">
      <w:pPr>
        <w:pStyle w:val="FootnoteText"/>
        <w:spacing w:before="0" w:after="0"/>
        <w:ind w:left="0" w:firstLine="0"/>
        <w:contextualSpacing/>
        <w:rPr>
          <w:rFonts w:asciiTheme="minorHAnsi" w:hAnsiTheme="minorHAnsi" w:cstheme="minorHAnsi"/>
        </w:rPr>
      </w:pPr>
      <w:r w:rsidRPr="00461FE3">
        <w:rPr>
          <w:rStyle w:val="FootnoteReference"/>
          <w:rFonts w:asciiTheme="minorHAnsi" w:hAnsiTheme="minorHAnsi" w:cstheme="minorHAnsi"/>
        </w:rPr>
        <w:footnoteRef/>
      </w:r>
      <w:r w:rsidRPr="00461FE3">
        <w:rPr>
          <w:rFonts w:asciiTheme="minorHAnsi" w:hAnsiTheme="minorHAnsi" w:cstheme="minorHAnsi"/>
        </w:rPr>
        <w:tab/>
      </w:r>
      <w:r>
        <w:rPr>
          <w:rFonts w:asciiTheme="minorHAnsi" w:hAnsiTheme="minorHAnsi" w:cstheme="minorHAnsi"/>
        </w:rPr>
        <w:t xml:space="preserve"> </w:t>
      </w:r>
      <w:r w:rsidRPr="00461FE3">
        <w:rPr>
          <w:rFonts w:asciiTheme="minorHAnsi" w:hAnsiTheme="minorHAnsi" w:cstheme="minorHAnsi"/>
        </w:rPr>
        <w:t xml:space="preserve">U </w:t>
      </w:r>
      <w:proofErr w:type="spellStart"/>
      <w:r w:rsidRPr="00461FE3">
        <w:rPr>
          <w:rFonts w:asciiTheme="minorHAnsi" w:hAnsiTheme="minorHAnsi" w:cstheme="minorHAnsi"/>
        </w:rPr>
        <w:t>skladu</w:t>
      </w:r>
      <w:proofErr w:type="spellEnd"/>
      <w:r w:rsidRPr="00461FE3">
        <w:rPr>
          <w:rFonts w:asciiTheme="minorHAnsi" w:hAnsiTheme="minorHAnsi" w:cstheme="minorHAnsi"/>
        </w:rPr>
        <w:t xml:space="preserve"> </w:t>
      </w:r>
      <w:proofErr w:type="spellStart"/>
      <w:r w:rsidRPr="00461FE3">
        <w:rPr>
          <w:rFonts w:asciiTheme="minorHAnsi" w:hAnsiTheme="minorHAnsi" w:cstheme="minorHAnsi"/>
        </w:rPr>
        <w:t>sa</w:t>
      </w:r>
      <w:proofErr w:type="spellEnd"/>
      <w:r w:rsidRPr="00461FE3">
        <w:rPr>
          <w:rFonts w:asciiTheme="minorHAnsi" w:hAnsiTheme="minorHAnsi" w:cstheme="minorHAnsi"/>
        </w:rPr>
        <w:t xml:space="preserve"> </w:t>
      </w:r>
      <w:proofErr w:type="spellStart"/>
      <w:r w:rsidRPr="00461FE3">
        <w:rPr>
          <w:rFonts w:asciiTheme="minorHAnsi" w:hAnsiTheme="minorHAnsi" w:cstheme="minorHAnsi"/>
        </w:rPr>
        <w:t>tačkom</w:t>
      </w:r>
      <w:proofErr w:type="spellEnd"/>
      <w:r w:rsidRPr="00461FE3">
        <w:rPr>
          <w:rFonts w:asciiTheme="minorHAnsi" w:hAnsiTheme="minorHAnsi" w:cstheme="minorHAnsi"/>
        </w:rPr>
        <w:t xml:space="preserve"> 19 </w:t>
      </w:r>
      <w:proofErr w:type="spellStart"/>
      <w:r w:rsidRPr="00461FE3">
        <w:rPr>
          <w:rFonts w:asciiTheme="minorHAnsi" w:hAnsiTheme="minorHAnsi" w:cstheme="minorHAnsi"/>
        </w:rPr>
        <w:t>podtačka</w:t>
      </w:r>
      <w:proofErr w:type="spellEnd"/>
      <w:r w:rsidRPr="00461FE3">
        <w:rPr>
          <w:rFonts w:asciiTheme="minorHAnsi" w:hAnsiTheme="minorHAnsi" w:cstheme="minorHAnsi"/>
        </w:rPr>
        <w:t xml:space="preserve"> 89 CEEAG-a „</w:t>
      </w:r>
      <w:proofErr w:type="spellStart"/>
      <w:r w:rsidRPr="00461FE3">
        <w:rPr>
          <w:rFonts w:asciiTheme="minorHAnsi" w:hAnsiTheme="minorHAnsi" w:cstheme="minorHAnsi"/>
        </w:rPr>
        <w:t>norma</w:t>
      </w:r>
      <w:proofErr w:type="spellEnd"/>
      <w:r w:rsidRPr="00461FE3">
        <w:rPr>
          <w:rFonts w:asciiTheme="minorHAnsi" w:hAnsiTheme="minorHAnsi" w:cstheme="minorHAnsi"/>
        </w:rPr>
        <w:t xml:space="preserve"> </w:t>
      </w:r>
      <w:proofErr w:type="spellStart"/>
      <w:r w:rsidRPr="00461FE3">
        <w:rPr>
          <w:rFonts w:asciiTheme="minorHAnsi" w:hAnsiTheme="minorHAnsi" w:cstheme="minorHAnsi"/>
        </w:rPr>
        <w:t>Unije</w:t>
      </w:r>
      <w:proofErr w:type="spellEnd"/>
      <w:r w:rsidRPr="00461FE3">
        <w:rPr>
          <w:rFonts w:asciiTheme="minorHAnsi" w:hAnsiTheme="minorHAnsi" w:cstheme="minorHAnsi"/>
        </w:rPr>
        <w:t xml:space="preserve">” </w:t>
      </w:r>
      <w:proofErr w:type="spellStart"/>
      <w:r w:rsidRPr="00461FE3">
        <w:rPr>
          <w:rFonts w:asciiTheme="minorHAnsi" w:hAnsiTheme="minorHAnsi" w:cstheme="minorHAnsi"/>
        </w:rPr>
        <w:t>znači</w:t>
      </w:r>
      <w:proofErr w:type="spellEnd"/>
      <w:r w:rsidRPr="00461FE3">
        <w:rPr>
          <w:rFonts w:asciiTheme="minorHAnsi" w:hAnsiTheme="minorHAnsi" w:cstheme="minorHAnsi"/>
        </w:rPr>
        <w:t>:</w:t>
      </w:r>
    </w:p>
    <w:p w14:paraId="0200B8DE" w14:textId="77777777" w:rsidR="00211F70" w:rsidRDefault="00211F70" w:rsidP="00211F70">
      <w:pPr>
        <w:pStyle w:val="FootnoteText"/>
        <w:numPr>
          <w:ilvl w:val="0"/>
          <w:numId w:val="15"/>
        </w:numPr>
        <w:spacing w:before="0" w:after="0"/>
        <w:ind w:left="360" w:firstLine="0"/>
        <w:contextualSpacing/>
        <w:rPr>
          <w:rFonts w:asciiTheme="minorHAnsi" w:hAnsiTheme="minorHAnsi" w:cstheme="minorHAnsi"/>
          <w:i/>
        </w:rPr>
      </w:pPr>
      <w:r>
        <w:rPr>
          <w:rFonts w:asciiTheme="minorHAnsi" w:hAnsiTheme="minorHAnsi" w:cstheme="minorHAnsi"/>
          <w:i/>
        </w:rPr>
        <w:t xml:space="preserve"> </w:t>
      </w:r>
      <w:proofErr w:type="spellStart"/>
      <w:r w:rsidRPr="00461FE3">
        <w:rPr>
          <w:rFonts w:asciiTheme="minorHAnsi" w:hAnsiTheme="minorHAnsi" w:cstheme="minorHAnsi"/>
          <w:i/>
        </w:rPr>
        <w:t>obvezujuća</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norma</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Unije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kojom</w:t>
      </w:r>
      <w:proofErr w:type="spellEnd"/>
      <w:r w:rsidRPr="00461FE3">
        <w:rPr>
          <w:rFonts w:asciiTheme="minorHAnsi" w:hAnsiTheme="minorHAnsi" w:cstheme="minorHAnsi"/>
          <w:i/>
        </w:rPr>
        <w:t xml:space="preserve"> se </w:t>
      </w:r>
      <w:proofErr w:type="spellStart"/>
      <w:r w:rsidRPr="00461FE3">
        <w:rPr>
          <w:rFonts w:asciiTheme="minorHAnsi" w:hAnsiTheme="minorHAnsi" w:cstheme="minorHAnsi"/>
          <w:i/>
        </w:rPr>
        <w:t>utvrđuju</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nivoi</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koje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pojedina</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privredna</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društva</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treba</w:t>
      </w:r>
      <w:proofErr w:type="spellEnd"/>
      <w:r w:rsidRPr="00461FE3">
        <w:rPr>
          <w:rFonts w:asciiTheme="minorHAnsi" w:hAnsiTheme="minorHAnsi" w:cstheme="minorHAnsi"/>
          <w:i/>
        </w:rPr>
        <w:t xml:space="preserve"> da </w:t>
      </w:r>
      <w:proofErr w:type="spellStart"/>
      <w:r w:rsidRPr="00461FE3">
        <w:rPr>
          <w:rFonts w:asciiTheme="minorHAnsi" w:hAnsiTheme="minorHAnsi" w:cstheme="minorHAnsi"/>
          <w:i/>
        </w:rPr>
        <w:t>postignu</w:t>
      </w:r>
      <w:proofErr w:type="spellEnd"/>
      <w:r w:rsidRPr="00461FE3">
        <w:rPr>
          <w:rFonts w:asciiTheme="minorHAnsi" w:hAnsiTheme="minorHAnsi" w:cstheme="minorHAnsi"/>
          <w:i/>
        </w:rPr>
        <w:t xml:space="preserve"> u </w:t>
      </w:r>
      <w:proofErr w:type="spellStart"/>
      <w:r w:rsidRPr="00461FE3">
        <w:rPr>
          <w:rFonts w:asciiTheme="minorHAnsi" w:hAnsiTheme="minorHAnsi" w:cstheme="minorHAnsi"/>
          <w:i/>
        </w:rPr>
        <w:t>pogledu</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zaštite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životne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sredine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isključujući</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norme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ili</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ciljeve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utvrđene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na</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nivou</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Unije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koji</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su</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obvezujući</w:t>
      </w:r>
      <w:proofErr w:type="spellEnd"/>
      <w:r w:rsidRPr="00461FE3">
        <w:rPr>
          <w:rFonts w:asciiTheme="minorHAnsi" w:hAnsiTheme="minorHAnsi" w:cstheme="minorHAnsi"/>
          <w:i/>
        </w:rPr>
        <w:t xml:space="preserve"> za </w:t>
      </w:r>
      <w:proofErr w:type="spellStart"/>
      <w:r w:rsidRPr="00461FE3">
        <w:rPr>
          <w:rFonts w:asciiTheme="minorHAnsi" w:hAnsiTheme="minorHAnsi" w:cstheme="minorHAnsi"/>
          <w:i/>
        </w:rPr>
        <w:t>države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članice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ali</w:t>
      </w:r>
      <w:proofErr w:type="spellEnd"/>
      <w:r w:rsidRPr="00461FE3">
        <w:rPr>
          <w:rFonts w:asciiTheme="minorHAnsi" w:hAnsiTheme="minorHAnsi" w:cstheme="minorHAnsi"/>
          <w:i/>
        </w:rPr>
        <w:t xml:space="preserve"> ne i za </w:t>
      </w:r>
      <w:proofErr w:type="spellStart"/>
      <w:r w:rsidRPr="00461FE3">
        <w:rPr>
          <w:rFonts w:asciiTheme="minorHAnsi" w:hAnsiTheme="minorHAnsi" w:cstheme="minorHAnsi"/>
          <w:i/>
        </w:rPr>
        <w:t>pojedinačna</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privredna</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društva</w:t>
      </w:r>
      <w:proofErr w:type="spellEnd"/>
      <w:r w:rsidRPr="00461FE3">
        <w:rPr>
          <w:rFonts w:asciiTheme="minorHAnsi" w:hAnsiTheme="minorHAnsi" w:cstheme="minorHAnsi"/>
          <w:i/>
        </w:rPr>
        <w:t>;</w:t>
      </w:r>
    </w:p>
    <w:p w14:paraId="70C0DBA9" w14:textId="77777777" w:rsidR="00211F70" w:rsidRPr="0099573A" w:rsidRDefault="00211F70" w:rsidP="00211F70">
      <w:pPr>
        <w:pStyle w:val="FootnoteText"/>
        <w:numPr>
          <w:ilvl w:val="0"/>
          <w:numId w:val="15"/>
        </w:numPr>
        <w:spacing w:before="0" w:after="0"/>
        <w:ind w:left="360" w:firstLine="0"/>
        <w:contextualSpacing/>
        <w:rPr>
          <w:rFonts w:asciiTheme="minorHAnsi" w:hAnsiTheme="minorHAnsi" w:cstheme="minorHAnsi"/>
          <w:i/>
        </w:rPr>
      </w:pPr>
      <w:proofErr w:type="spellStart"/>
      <w:r w:rsidRPr="0099573A">
        <w:rPr>
          <w:rFonts w:asciiTheme="minorHAnsi" w:hAnsiTheme="minorHAnsi" w:cstheme="minorHAnsi"/>
          <w:i/>
        </w:rPr>
        <w:t>obaveza</w:t>
      </w:r>
      <w:proofErr w:type="spellEnd"/>
      <w:r w:rsidRPr="0099573A">
        <w:rPr>
          <w:rFonts w:asciiTheme="minorHAnsi" w:hAnsiTheme="minorHAnsi" w:cstheme="minorHAnsi"/>
          <w:i/>
        </w:rPr>
        <w:t xml:space="preserve"> </w:t>
      </w:r>
      <w:proofErr w:type="spellStart"/>
      <w:r w:rsidRPr="0099573A">
        <w:rPr>
          <w:rFonts w:asciiTheme="minorHAnsi" w:hAnsiTheme="minorHAnsi" w:cstheme="minorHAnsi"/>
          <w:i/>
        </w:rPr>
        <w:t>upotrebe</w:t>
      </w:r>
      <w:proofErr w:type="spellEnd"/>
      <w:r w:rsidRPr="0099573A">
        <w:rPr>
          <w:rFonts w:asciiTheme="minorHAnsi" w:hAnsiTheme="minorHAnsi" w:cstheme="minorHAnsi"/>
          <w:i/>
        </w:rPr>
        <w:t xml:space="preserve"> </w:t>
      </w:r>
      <w:proofErr w:type="spellStart"/>
      <w:r w:rsidRPr="0099573A">
        <w:rPr>
          <w:rFonts w:asciiTheme="minorHAnsi" w:hAnsiTheme="minorHAnsi" w:cstheme="minorHAnsi"/>
          <w:i/>
        </w:rPr>
        <w:t>najboljih</w:t>
      </w:r>
      <w:proofErr w:type="spellEnd"/>
      <w:r w:rsidRPr="0099573A">
        <w:rPr>
          <w:rFonts w:asciiTheme="minorHAnsi" w:hAnsiTheme="minorHAnsi" w:cstheme="minorHAnsi"/>
          <w:i/>
        </w:rPr>
        <w:t xml:space="preserve"> </w:t>
      </w:r>
      <w:proofErr w:type="spellStart"/>
      <w:r w:rsidRPr="0099573A">
        <w:rPr>
          <w:rFonts w:asciiTheme="minorHAnsi" w:hAnsiTheme="minorHAnsi" w:cstheme="minorHAnsi"/>
          <w:i/>
        </w:rPr>
        <w:t>raspoloživih</w:t>
      </w:r>
      <w:proofErr w:type="spellEnd"/>
      <w:r w:rsidRPr="0099573A">
        <w:rPr>
          <w:rFonts w:asciiTheme="minorHAnsi" w:hAnsiTheme="minorHAnsi" w:cstheme="minorHAnsi"/>
          <w:i/>
        </w:rPr>
        <w:t xml:space="preserve"> </w:t>
      </w:r>
      <w:proofErr w:type="spellStart"/>
      <w:r w:rsidRPr="0099573A">
        <w:rPr>
          <w:rFonts w:asciiTheme="minorHAnsi" w:hAnsiTheme="minorHAnsi" w:cstheme="minorHAnsi"/>
          <w:i/>
        </w:rPr>
        <w:t>tehnika</w:t>
      </w:r>
      <w:proofErr w:type="spellEnd"/>
      <w:r w:rsidRPr="0099573A">
        <w:rPr>
          <w:rFonts w:asciiTheme="minorHAnsi" w:hAnsiTheme="minorHAnsi" w:cstheme="minorHAnsi"/>
          <w:i/>
        </w:rPr>
        <w:t xml:space="preserve"> (BAT), </w:t>
      </w:r>
      <w:proofErr w:type="spellStart"/>
      <w:r w:rsidRPr="0099573A">
        <w:rPr>
          <w:rFonts w:asciiTheme="minorHAnsi" w:hAnsiTheme="minorHAnsi" w:cstheme="minorHAnsi"/>
          <w:i/>
        </w:rPr>
        <w:t>kako</w:t>
      </w:r>
      <w:proofErr w:type="spellEnd"/>
      <w:r w:rsidRPr="0099573A">
        <w:rPr>
          <w:rFonts w:asciiTheme="minorHAnsi" w:hAnsiTheme="minorHAnsi" w:cstheme="minorHAnsi"/>
          <w:i/>
        </w:rPr>
        <w:t xml:space="preserve"> </w:t>
      </w:r>
      <w:proofErr w:type="spellStart"/>
      <w:r w:rsidRPr="0099573A">
        <w:rPr>
          <w:rFonts w:asciiTheme="minorHAnsi" w:hAnsiTheme="minorHAnsi" w:cstheme="minorHAnsi"/>
          <w:i/>
        </w:rPr>
        <w:t>su</w:t>
      </w:r>
      <w:proofErr w:type="spellEnd"/>
      <w:r w:rsidRPr="0099573A">
        <w:rPr>
          <w:rFonts w:asciiTheme="minorHAnsi" w:hAnsiTheme="minorHAnsi" w:cstheme="minorHAnsi"/>
          <w:i/>
        </w:rPr>
        <w:t xml:space="preserve"> </w:t>
      </w:r>
      <w:proofErr w:type="spellStart"/>
      <w:r w:rsidRPr="0099573A">
        <w:rPr>
          <w:rFonts w:asciiTheme="minorHAnsi" w:hAnsiTheme="minorHAnsi" w:cstheme="minorHAnsi"/>
          <w:i/>
        </w:rPr>
        <w:t>definisane</w:t>
      </w:r>
      <w:proofErr w:type="spellEnd"/>
      <w:r w:rsidRPr="0099573A">
        <w:rPr>
          <w:rFonts w:asciiTheme="minorHAnsi" w:hAnsiTheme="minorHAnsi" w:cstheme="minorHAnsi"/>
          <w:i/>
        </w:rPr>
        <w:t xml:space="preserve"> u </w:t>
      </w:r>
      <w:proofErr w:type="spellStart"/>
      <w:r w:rsidRPr="0099573A">
        <w:rPr>
          <w:rFonts w:asciiTheme="minorHAnsi" w:hAnsiTheme="minorHAnsi" w:cstheme="minorHAnsi"/>
          <w:i/>
        </w:rPr>
        <w:t>Direktivi</w:t>
      </w:r>
      <w:proofErr w:type="spellEnd"/>
      <w:r w:rsidRPr="0099573A">
        <w:rPr>
          <w:rFonts w:asciiTheme="minorHAnsi" w:hAnsiTheme="minorHAnsi" w:cstheme="minorHAnsi"/>
          <w:i/>
        </w:rPr>
        <w:t xml:space="preserve"> 2010/75/EU, i </w:t>
      </w:r>
      <w:proofErr w:type="spellStart"/>
      <w:r w:rsidRPr="0099573A">
        <w:rPr>
          <w:rFonts w:asciiTheme="minorHAnsi" w:hAnsiTheme="minorHAnsi" w:cstheme="minorHAnsi"/>
          <w:i/>
        </w:rPr>
        <w:t>osiguravanea</w:t>
      </w:r>
      <w:proofErr w:type="spellEnd"/>
      <w:r w:rsidRPr="0099573A">
        <w:rPr>
          <w:rFonts w:asciiTheme="minorHAnsi" w:hAnsiTheme="minorHAnsi" w:cstheme="minorHAnsi"/>
          <w:i/>
        </w:rPr>
        <w:t xml:space="preserve"> da </w:t>
      </w:r>
      <w:proofErr w:type="spellStart"/>
      <w:r w:rsidRPr="0099573A">
        <w:rPr>
          <w:rFonts w:asciiTheme="minorHAnsi" w:hAnsiTheme="minorHAnsi" w:cstheme="minorHAnsi"/>
          <w:i/>
        </w:rPr>
        <w:t>nivoi</w:t>
      </w:r>
      <w:proofErr w:type="spellEnd"/>
      <w:r w:rsidRPr="0099573A">
        <w:rPr>
          <w:rFonts w:asciiTheme="minorHAnsi" w:hAnsiTheme="minorHAnsi" w:cstheme="minorHAnsi"/>
          <w:i/>
        </w:rPr>
        <w:t xml:space="preserve"> </w:t>
      </w:r>
      <w:proofErr w:type="spellStart"/>
      <w:r w:rsidRPr="0099573A">
        <w:rPr>
          <w:rFonts w:asciiTheme="minorHAnsi" w:hAnsiTheme="minorHAnsi" w:cstheme="minorHAnsi"/>
          <w:i/>
        </w:rPr>
        <w:t>emisija</w:t>
      </w:r>
      <w:proofErr w:type="spellEnd"/>
      <w:r w:rsidRPr="0099573A">
        <w:rPr>
          <w:rFonts w:asciiTheme="minorHAnsi" w:hAnsiTheme="minorHAnsi" w:cstheme="minorHAnsi"/>
          <w:i/>
        </w:rPr>
        <w:t xml:space="preserve"> ne </w:t>
      </w:r>
      <w:proofErr w:type="spellStart"/>
      <w:r w:rsidRPr="0099573A">
        <w:rPr>
          <w:rFonts w:asciiTheme="minorHAnsi" w:hAnsiTheme="minorHAnsi" w:cstheme="minorHAnsi"/>
          <w:i/>
        </w:rPr>
        <w:t>prelaze</w:t>
      </w:r>
      <w:proofErr w:type="spellEnd"/>
      <w:r w:rsidRPr="0099573A">
        <w:rPr>
          <w:rFonts w:asciiTheme="minorHAnsi" w:hAnsiTheme="minorHAnsi" w:cstheme="minorHAnsi"/>
          <w:i/>
        </w:rPr>
        <w:t xml:space="preserve"> </w:t>
      </w:r>
      <w:proofErr w:type="spellStart"/>
      <w:r w:rsidRPr="0099573A">
        <w:rPr>
          <w:rFonts w:asciiTheme="minorHAnsi" w:hAnsiTheme="minorHAnsi" w:cstheme="minorHAnsi"/>
          <w:i/>
        </w:rPr>
        <w:t>nivoe</w:t>
      </w:r>
      <w:proofErr w:type="spellEnd"/>
      <w:r w:rsidRPr="0099573A">
        <w:rPr>
          <w:rFonts w:asciiTheme="minorHAnsi" w:hAnsiTheme="minorHAnsi" w:cstheme="minorHAnsi"/>
          <w:i/>
        </w:rPr>
        <w:t xml:space="preserve"> </w:t>
      </w:r>
      <w:proofErr w:type="spellStart"/>
      <w:r w:rsidRPr="0099573A">
        <w:rPr>
          <w:rFonts w:asciiTheme="minorHAnsi" w:hAnsiTheme="minorHAnsi" w:cstheme="minorHAnsi"/>
          <w:i/>
        </w:rPr>
        <w:t>koji</w:t>
      </w:r>
      <w:proofErr w:type="spellEnd"/>
      <w:r w:rsidRPr="0099573A">
        <w:rPr>
          <w:rFonts w:asciiTheme="minorHAnsi" w:hAnsiTheme="minorHAnsi" w:cstheme="minorHAnsi"/>
          <w:i/>
        </w:rPr>
        <w:t xml:space="preserve"> bi se </w:t>
      </w:r>
      <w:proofErr w:type="spellStart"/>
      <w:r w:rsidRPr="0099573A">
        <w:rPr>
          <w:rFonts w:asciiTheme="minorHAnsi" w:hAnsiTheme="minorHAnsi" w:cstheme="minorHAnsi"/>
          <w:i/>
        </w:rPr>
        <w:t>postigli</w:t>
      </w:r>
      <w:proofErr w:type="spellEnd"/>
      <w:r w:rsidRPr="0099573A">
        <w:rPr>
          <w:rFonts w:asciiTheme="minorHAnsi" w:hAnsiTheme="minorHAnsi" w:cstheme="minorHAnsi"/>
          <w:i/>
        </w:rPr>
        <w:t xml:space="preserve"> </w:t>
      </w:r>
      <w:proofErr w:type="spellStart"/>
      <w:r w:rsidRPr="0099573A">
        <w:rPr>
          <w:rFonts w:asciiTheme="minorHAnsi" w:hAnsiTheme="minorHAnsi" w:cstheme="minorHAnsi"/>
          <w:i/>
        </w:rPr>
        <w:t>uz</w:t>
      </w:r>
      <w:proofErr w:type="spellEnd"/>
      <w:r w:rsidRPr="0099573A">
        <w:rPr>
          <w:rFonts w:asciiTheme="minorHAnsi" w:hAnsiTheme="minorHAnsi" w:cstheme="minorHAnsi"/>
          <w:i/>
        </w:rPr>
        <w:t xml:space="preserve"> </w:t>
      </w:r>
      <w:proofErr w:type="spellStart"/>
      <w:r w:rsidRPr="0099573A">
        <w:rPr>
          <w:rFonts w:asciiTheme="minorHAnsi" w:hAnsiTheme="minorHAnsi" w:cstheme="minorHAnsi"/>
          <w:i/>
        </w:rPr>
        <w:t>primjenu</w:t>
      </w:r>
      <w:proofErr w:type="spellEnd"/>
      <w:r w:rsidRPr="0099573A">
        <w:rPr>
          <w:rFonts w:asciiTheme="minorHAnsi" w:hAnsiTheme="minorHAnsi" w:cstheme="minorHAnsi"/>
          <w:i/>
        </w:rPr>
        <w:t xml:space="preserve"> BAT-a; </w:t>
      </w:r>
      <w:proofErr w:type="spellStart"/>
      <w:r w:rsidRPr="0099573A">
        <w:rPr>
          <w:rFonts w:asciiTheme="minorHAnsi" w:hAnsiTheme="minorHAnsi" w:cstheme="minorHAnsi"/>
          <w:i/>
        </w:rPr>
        <w:t>ako</w:t>
      </w:r>
      <w:proofErr w:type="spellEnd"/>
      <w:r w:rsidRPr="0099573A">
        <w:rPr>
          <w:rFonts w:asciiTheme="minorHAnsi" w:hAnsiTheme="minorHAnsi" w:cstheme="minorHAnsi"/>
          <w:i/>
        </w:rPr>
        <w:t xml:space="preserve"> </w:t>
      </w:r>
      <w:proofErr w:type="spellStart"/>
      <w:r w:rsidRPr="0099573A">
        <w:rPr>
          <w:rFonts w:asciiTheme="minorHAnsi" w:hAnsiTheme="minorHAnsi" w:cstheme="minorHAnsi"/>
          <w:i/>
        </w:rPr>
        <w:t>su</w:t>
      </w:r>
      <w:proofErr w:type="spellEnd"/>
      <w:r w:rsidRPr="0099573A">
        <w:rPr>
          <w:rFonts w:asciiTheme="minorHAnsi" w:hAnsiTheme="minorHAnsi" w:cstheme="minorHAnsi"/>
          <w:i/>
        </w:rPr>
        <w:t xml:space="preserve"> </w:t>
      </w:r>
      <w:proofErr w:type="spellStart"/>
      <w:r w:rsidRPr="0099573A">
        <w:rPr>
          <w:rFonts w:asciiTheme="minorHAnsi" w:hAnsiTheme="minorHAnsi" w:cstheme="minorHAnsi"/>
          <w:i/>
        </w:rPr>
        <w:t>nivoi</w:t>
      </w:r>
      <w:proofErr w:type="spellEnd"/>
      <w:r w:rsidRPr="0099573A">
        <w:rPr>
          <w:rFonts w:asciiTheme="minorHAnsi" w:hAnsiTheme="minorHAnsi" w:cstheme="minorHAnsi"/>
          <w:i/>
        </w:rPr>
        <w:t xml:space="preserve"> </w:t>
      </w:r>
      <w:proofErr w:type="spellStart"/>
      <w:r w:rsidRPr="0099573A">
        <w:rPr>
          <w:rFonts w:asciiTheme="minorHAnsi" w:hAnsiTheme="minorHAnsi" w:cstheme="minorHAnsi"/>
          <w:i/>
        </w:rPr>
        <w:t>emisija</w:t>
      </w:r>
      <w:proofErr w:type="spellEnd"/>
      <w:r w:rsidRPr="0099573A">
        <w:rPr>
          <w:rFonts w:asciiTheme="minorHAnsi" w:hAnsiTheme="minorHAnsi" w:cstheme="minorHAnsi"/>
          <w:i/>
        </w:rPr>
        <w:t xml:space="preserve"> </w:t>
      </w:r>
      <w:proofErr w:type="spellStart"/>
      <w:r w:rsidRPr="0099573A">
        <w:rPr>
          <w:rFonts w:asciiTheme="minorHAnsi" w:hAnsiTheme="minorHAnsi" w:cstheme="minorHAnsi"/>
          <w:i/>
        </w:rPr>
        <w:t>povezani</w:t>
      </w:r>
      <w:proofErr w:type="spellEnd"/>
      <w:r w:rsidRPr="0099573A">
        <w:rPr>
          <w:rFonts w:asciiTheme="minorHAnsi" w:hAnsiTheme="minorHAnsi" w:cstheme="minorHAnsi"/>
          <w:i/>
        </w:rPr>
        <w:t xml:space="preserve"> </w:t>
      </w:r>
      <w:proofErr w:type="spellStart"/>
      <w:r w:rsidRPr="0099573A">
        <w:rPr>
          <w:rFonts w:asciiTheme="minorHAnsi" w:hAnsiTheme="minorHAnsi" w:cstheme="minorHAnsi"/>
          <w:i/>
        </w:rPr>
        <w:t>sa</w:t>
      </w:r>
      <w:proofErr w:type="spellEnd"/>
      <w:r w:rsidRPr="0099573A">
        <w:rPr>
          <w:rFonts w:asciiTheme="minorHAnsi" w:hAnsiTheme="minorHAnsi" w:cstheme="minorHAnsi"/>
          <w:i/>
        </w:rPr>
        <w:t xml:space="preserve"> BAT-om </w:t>
      </w:r>
      <w:proofErr w:type="spellStart"/>
      <w:r w:rsidRPr="0099573A">
        <w:rPr>
          <w:rFonts w:asciiTheme="minorHAnsi" w:hAnsiTheme="minorHAnsi" w:cstheme="minorHAnsi"/>
          <w:i/>
        </w:rPr>
        <w:t>utvrđeni</w:t>
      </w:r>
      <w:proofErr w:type="spellEnd"/>
      <w:r w:rsidRPr="0099573A">
        <w:rPr>
          <w:rFonts w:asciiTheme="minorHAnsi" w:hAnsiTheme="minorHAnsi" w:cstheme="minorHAnsi"/>
          <w:i/>
        </w:rPr>
        <w:t xml:space="preserve"> u </w:t>
      </w:r>
      <w:proofErr w:type="spellStart"/>
      <w:r w:rsidRPr="0099573A">
        <w:rPr>
          <w:rFonts w:asciiTheme="minorHAnsi" w:hAnsiTheme="minorHAnsi" w:cstheme="minorHAnsi"/>
          <w:i/>
        </w:rPr>
        <w:t>implementacionim</w:t>
      </w:r>
      <w:proofErr w:type="spellEnd"/>
      <w:r w:rsidRPr="0099573A">
        <w:rPr>
          <w:rFonts w:asciiTheme="minorHAnsi" w:hAnsiTheme="minorHAnsi" w:cstheme="minorHAnsi"/>
          <w:i/>
        </w:rPr>
        <w:t xml:space="preserve"> </w:t>
      </w:r>
      <w:proofErr w:type="spellStart"/>
      <w:r w:rsidRPr="0099573A">
        <w:rPr>
          <w:rFonts w:asciiTheme="minorHAnsi" w:hAnsiTheme="minorHAnsi" w:cstheme="minorHAnsi"/>
          <w:i/>
        </w:rPr>
        <w:t>aktima</w:t>
      </w:r>
      <w:proofErr w:type="spellEnd"/>
      <w:r w:rsidRPr="0099573A">
        <w:rPr>
          <w:rFonts w:asciiTheme="minorHAnsi" w:hAnsiTheme="minorHAnsi" w:cstheme="minorHAnsi"/>
          <w:i/>
        </w:rPr>
        <w:t xml:space="preserve"> </w:t>
      </w:r>
      <w:proofErr w:type="spellStart"/>
      <w:r w:rsidRPr="0099573A">
        <w:rPr>
          <w:rFonts w:asciiTheme="minorHAnsi" w:hAnsiTheme="minorHAnsi" w:cstheme="minorHAnsi"/>
          <w:i/>
        </w:rPr>
        <w:t>donesenima</w:t>
      </w:r>
      <w:proofErr w:type="spellEnd"/>
      <w:r w:rsidRPr="0099573A">
        <w:rPr>
          <w:rFonts w:asciiTheme="minorHAnsi" w:hAnsiTheme="minorHAnsi" w:cstheme="minorHAnsi"/>
          <w:i/>
        </w:rPr>
        <w:t xml:space="preserve"> </w:t>
      </w:r>
      <w:proofErr w:type="spellStart"/>
      <w:r w:rsidRPr="0099573A">
        <w:rPr>
          <w:rFonts w:asciiTheme="minorHAnsi" w:hAnsiTheme="minorHAnsi" w:cstheme="minorHAnsi"/>
          <w:i/>
        </w:rPr>
        <w:t>na</w:t>
      </w:r>
      <w:proofErr w:type="spellEnd"/>
      <w:r w:rsidRPr="0099573A">
        <w:rPr>
          <w:rFonts w:asciiTheme="minorHAnsi" w:hAnsiTheme="minorHAnsi" w:cstheme="minorHAnsi"/>
          <w:i/>
        </w:rPr>
        <w:t xml:space="preserve"> </w:t>
      </w:r>
      <w:proofErr w:type="spellStart"/>
      <w:r w:rsidRPr="0099573A">
        <w:rPr>
          <w:rFonts w:asciiTheme="minorHAnsi" w:hAnsiTheme="minorHAnsi" w:cstheme="minorHAnsi"/>
          <w:i/>
        </w:rPr>
        <w:t>osnovu</w:t>
      </w:r>
      <w:proofErr w:type="spellEnd"/>
      <w:r w:rsidRPr="0099573A">
        <w:rPr>
          <w:rFonts w:asciiTheme="minorHAnsi" w:hAnsiTheme="minorHAnsi" w:cstheme="minorHAnsi"/>
          <w:i/>
        </w:rPr>
        <w:t xml:space="preserve"> </w:t>
      </w:r>
      <w:proofErr w:type="spellStart"/>
      <w:r w:rsidRPr="0099573A">
        <w:rPr>
          <w:rFonts w:asciiTheme="minorHAnsi" w:hAnsiTheme="minorHAnsi" w:cstheme="minorHAnsi"/>
          <w:i/>
        </w:rPr>
        <w:t>Direktive</w:t>
      </w:r>
      <w:proofErr w:type="spellEnd"/>
      <w:r w:rsidRPr="0099573A">
        <w:rPr>
          <w:rFonts w:asciiTheme="minorHAnsi" w:hAnsiTheme="minorHAnsi" w:cstheme="minorHAnsi"/>
          <w:i/>
        </w:rPr>
        <w:t xml:space="preserve"> 2010/75/EU </w:t>
      </w:r>
      <w:proofErr w:type="spellStart"/>
      <w:r w:rsidRPr="0099573A">
        <w:rPr>
          <w:rFonts w:asciiTheme="minorHAnsi" w:hAnsiTheme="minorHAnsi" w:cstheme="minorHAnsi"/>
          <w:i/>
        </w:rPr>
        <w:t>ili</w:t>
      </w:r>
      <w:proofErr w:type="spellEnd"/>
      <w:r w:rsidRPr="0099573A">
        <w:rPr>
          <w:rFonts w:asciiTheme="minorHAnsi" w:hAnsiTheme="minorHAnsi" w:cstheme="minorHAnsi"/>
          <w:i/>
        </w:rPr>
        <w:t xml:space="preserve"> </w:t>
      </w:r>
      <w:proofErr w:type="spellStart"/>
      <w:r w:rsidRPr="0099573A">
        <w:rPr>
          <w:rFonts w:asciiTheme="minorHAnsi" w:hAnsiTheme="minorHAnsi" w:cstheme="minorHAnsi"/>
          <w:i/>
        </w:rPr>
        <w:t>drugih</w:t>
      </w:r>
      <w:proofErr w:type="spellEnd"/>
      <w:r w:rsidRPr="0099573A">
        <w:rPr>
          <w:rFonts w:asciiTheme="minorHAnsi" w:hAnsiTheme="minorHAnsi" w:cstheme="minorHAnsi"/>
          <w:i/>
        </w:rPr>
        <w:t xml:space="preserve"> </w:t>
      </w:r>
      <w:proofErr w:type="spellStart"/>
      <w:r w:rsidRPr="0099573A">
        <w:rPr>
          <w:rFonts w:asciiTheme="minorHAnsi" w:hAnsiTheme="minorHAnsi" w:cstheme="minorHAnsi"/>
          <w:i/>
        </w:rPr>
        <w:t>važećih</w:t>
      </w:r>
      <w:proofErr w:type="spellEnd"/>
      <w:r w:rsidRPr="0099573A">
        <w:rPr>
          <w:rFonts w:asciiTheme="minorHAnsi" w:hAnsiTheme="minorHAnsi" w:cstheme="minorHAnsi"/>
          <w:i/>
        </w:rPr>
        <w:t xml:space="preserve"> </w:t>
      </w:r>
      <w:proofErr w:type="spellStart"/>
      <w:r w:rsidRPr="0099573A">
        <w:rPr>
          <w:rFonts w:asciiTheme="minorHAnsi" w:hAnsiTheme="minorHAnsi" w:cstheme="minorHAnsi"/>
          <w:i/>
        </w:rPr>
        <w:t>direktiva</w:t>
      </w:r>
      <w:proofErr w:type="spellEnd"/>
      <w:r w:rsidRPr="0099573A">
        <w:rPr>
          <w:rFonts w:asciiTheme="minorHAnsi" w:hAnsiTheme="minorHAnsi" w:cstheme="minorHAnsi"/>
          <w:i/>
        </w:rPr>
        <w:t xml:space="preserve">, </w:t>
      </w:r>
      <w:proofErr w:type="spellStart"/>
      <w:r w:rsidRPr="0099573A">
        <w:rPr>
          <w:rFonts w:asciiTheme="minorHAnsi" w:hAnsiTheme="minorHAnsi" w:cstheme="minorHAnsi"/>
          <w:i/>
        </w:rPr>
        <w:t>ti</w:t>
      </w:r>
      <w:proofErr w:type="spellEnd"/>
      <w:r w:rsidRPr="0099573A">
        <w:rPr>
          <w:rFonts w:asciiTheme="minorHAnsi" w:hAnsiTheme="minorHAnsi" w:cstheme="minorHAnsi"/>
          <w:i/>
        </w:rPr>
        <w:t xml:space="preserve"> </w:t>
      </w:r>
      <w:proofErr w:type="spellStart"/>
      <w:r w:rsidRPr="0099573A">
        <w:rPr>
          <w:rFonts w:asciiTheme="minorHAnsi" w:hAnsiTheme="minorHAnsi" w:cstheme="minorHAnsi"/>
          <w:i/>
        </w:rPr>
        <w:t>nivoi</w:t>
      </w:r>
      <w:proofErr w:type="spellEnd"/>
      <w:r w:rsidRPr="0099573A">
        <w:rPr>
          <w:rFonts w:asciiTheme="minorHAnsi" w:hAnsiTheme="minorHAnsi" w:cstheme="minorHAnsi"/>
          <w:i/>
        </w:rPr>
        <w:t xml:space="preserve"> </w:t>
      </w:r>
      <w:proofErr w:type="spellStart"/>
      <w:r w:rsidRPr="0099573A">
        <w:rPr>
          <w:rFonts w:asciiTheme="minorHAnsi" w:hAnsiTheme="minorHAnsi" w:cstheme="minorHAnsi"/>
          <w:i/>
        </w:rPr>
        <w:t>će</w:t>
      </w:r>
      <w:proofErr w:type="spellEnd"/>
      <w:r w:rsidRPr="0099573A">
        <w:rPr>
          <w:rFonts w:asciiTheme="minorHAnsi" w:hAnsiTheme="minorHAnsi" w:cstheme="minorHAnsi"/>
          <w:i/>
        </w:rPr>
        <w:t xml:space="preserve"> se </w:t>
      </w:r>
      <w:proofErr w:type="spellStart"/>
      <w:r w:rsidRPr="0099573A">
        <w:rPr>
          <w:rFonts w:asciiTheme="minorHAnsi" w:hAnsiTheme="minorHAnsi" w:cstheme="minorHAnsi"/>
          <w:i/>
        </w:rPr>
        <w:t>primjenjivati</w:t>
      </w:r>
      <w:proofErr w:type="spellEnd"/>
      <w:r w:rsidRPr="0099573A">
        <w:rPr>
          <w:rFonts w:asciiTheme="minorHAnsi" w:hAnsiTheme="minorHAnsi" w:cstheme="minorHAnsi"/>
          <w:i/>
        </w:rPr>
        <w:t xml:space="preserve"> za </w:t>
      </w:r>
      <w:proofErr w:type="spellStart"/>
      <w:r w:rsidRPr="0099573A">
        <w:rPr>
          <w:rFonts w:asciiTheme="minorHAnsi" w:hAnsiTheme="minorHAnsi" w:cstheme="minorHAnsi"/>
          <w:i/>
        </w:rPr>
        <w:t>potrebe</w:t>
      </w:r>
      <w:proofErr w:type="spellEnd"/>
      <w:r w:rsidRPr="0099573A">
        <w:rPr>
          <w:rFonts w:asciiTheme="minorHAnsi" w:hAnsiTheme="minorHAnsi" w:cstheme="minorHAnsi"/>
          <w:i/>
        </w:rPr>
        <w:t xml:space="preserve"> </w:t>
      </w:r>
      <w:proofErr w:type="spellStart"/>
      <w:r w:rsidRPr="0099573A">
        <w:rPr>
          <w:rFonts w:asciiTheme="minorHAnsi" w:hAnsiTheme="minorHAnsi" w:cstheme="minorHAnsi"/>
          <w:i/>
        </w:rPr>
        <w:t>ovih</w:t>
      </w:r>
      <w:proofErr w:type="spellEnd"/>
      <w:r w:rsidRPr="0099573A">
        <w:rPr>
          <w:rFonts w:asciiTheme="minorHAnsi" w:hAnsiTheme="minorHAnsi" w:cstheme="minorHAnsi"/>
          <w:i/>
        </w:rPr>
        <w:t xml:space="preserve"> </w:t>
      </w:r>
      <w:proofErr w:type="spellStart"/>
      <w:r w:rsidRPr="0099573A">
        <w:rPr>
          <w:rFonts w:asciiTheme="minorHAnsi" w:hAnsiTheme="minorHAnsi" w:cstheme="minorHAnsi"/>
          <w:i/>
        </w:rPr>
        <w:t>Smjernica</w:t>
      </w:r>
      <w:proofErr w:type="spellEnd"/>
      <w:r w:rsidRPr="0099573A">
        <w:rPr>
          <w:rFonts w:asciiTheme="minorHAnsi" w:hAnsiTheme="minorHAnsi" w:cstheme="minorHAnsi"/>
          <w:i/>
        </w:rPr>
        <w:t xml:space="preserve">; </w:t>
      </w:r>
      <w:proofErr w:type="spellStart"/>
      <w:r w:rsidRPr="0099573A">
        <w:rPr>
          <w:rFonts w:asciiTheme="minorHAnsi" w:hAnsiTheme="minorHAnsi" w:cstheme="minorHAnsi"/>
          <w:i/>
        </w:rPr>
        <w:t>ako</w:t>
      </w:r>
      <w:proofErr w:type="spellEnd"/>
      <w:r w:rsidRPr="0099573A">
        <w:rPr>
          <w:rFonts w:asciiTheme="minorHAnsi" w:hAnsiTheme="minorHAnsi" w:cstheme="minorHAnsi"/>
          <w:i/>
        </w:rPr>
        <w:t xml:space="preserve"> </w:t>
      </w:r>
      <w:proofErr w:type="spellStart"/>
      <w:r w:rsidRPr="0099573A">
        <w:rPr>
          <w:rFonts w:asciiTheme="minorHAnsi" w:hAnsiTheme="minorHAnsi" w:cstheme="minorHAnsi"/>
          <w:i/>
        </w:rPr>
        <w:t>su</w:t>
      </w:r>
      <w:proofErr w:type="spellEnd"/>
      <w:r w:rsidRPr="0099573A">
        <w:rPr>
          <w:rFonts w:asciiTheme="minorHAnsi" w:hAnsiTheme="minorHAnsi" w:cstheme="minorHAnsi"/>
          <w:i/>
        </w:rPr>
        <w:t xml:space="preserve"> </w:t>
      </w:r>
      <w:proofErr w:type="spellStart"/>
      <w:r w:rsidRPr="0099573A">
        <w:rPr>
          <w:rFonts w:asciiTheme="minorHAnsi" w:hAnsiTheme="minorHAnsi" w:cstheme="minorHAnsi"/>
          <w:i/>
        </w:rPr>
        <w:t>ti</w:t>
      </w:r>
      <w:proofErr w:type="spellEnd"/>
      <w:r w:rsidRPr="0099573A">
        <w:rPr>
          <w:rFonts w:asciiTheme="minorHAnsi" w:hAnsiTheme="minorHAnsi" w:cstheme="minorHAnsi"/>
          <w:i/>
        </w:rPr>
        <w:t xml:space="preserve"> </w:t>
      </w:r>
      <w:proofErr w:type="spellStart"/>
      <w:r w:rsidRPr="0099573A">
        <w:rPr>
          <w:rFonts w:asciiTheme="minorHAnsi" w:hAnsiTheme="minorHAnsi" w:cstheme="minorHAnsi"/>
          <w:i/>
        </w:rPr>
        <w:t>nivoi</w:t>
      </w:r>
      <w:proofErr w:type="spellEnd"/>
      <w:r w:rsidRPr="0099573A">
        <w:rPr>
          <w:rFonts w:asciiTheme="minorHAnsi" w:hAnsiTheme="minorHAnsi" w:cstheme="minorHAnsi"/>
          <w:i/>
        </w:rPr>
        <w:t xml:space="preserve"> </w:t>
      </w:r>
      <w:proofErr w:type="spellStart"/>
      <w:r w:rsidRPr="0099573A">
        <w:rPr>
          <w:rFonts w:asciiTheme="minorHAnsi" w:hAnsiTheme="minorHAnsi" w:cstheme="minorHAnsi"/>
          <w:i/>
        </w:rPr>
        <w:t>izraženi</w:t>
      </w:r>
      <w:proofErr w:type="spellEnd"/>
      <w:r w:rsidRPr="0099573A">
        <w:rPr>
          <w:rFonts w:asciiTheme="minorHAnsi" w:hAnsiTheme="minorHAnsi" w:cstheme="minorHAnsi"/>
          <w:i/>
        </w:rPr>
        <w:t xml:space="preserve"> </w:t>
      </w:r>
      <w:proofErr w:type="spellStart"/>
      <w:r w:rsidRPr="0099573A">
        <w:rPr>
          <w:rFonts w:asciiTheme="minorHAnsi" w:hAnsiTheme="minorHAnsi" w:cstheme="minorHAnsi"/>
          <w:i/>
        </w:rPr>
        <w:t>kao</w:t>
      </w:r>
      <w:proofErr w:type="spellEnd"/>
      <w:r w:rsidRPr="0099573A">
        <w:rPr>
          <w:rFonts w:asciiTheme="minorHAnsi" w:hAnsiTheme="minorHAnsi" w:cstheme="minorHAnsi"/>
          <w:i/>
        </w:rPr>
        <w:t xml:space="preserve"> </w:t>
      </w:r>
      <w:proofErr w:type="spellStart"/>
      <w:r w:rsidRPr="0099573A">
        <w:rPr>
          <w:rFonts w:asciiTheme="minorHAnsi" w:hAnsiTheme="minorHAnsi" w:cstheme="minorHAnsi"/>
          <w:i/>
        </w:rPr>
        <w:t>raspon</w:t>
      </w:r>
      <w:proofErr w:type="spellEnd"/>
      <w:r w:rsidRPr="0099573A">
        <w:rPr>
          <w:rFonts w:asciiTheme="minorHAnsi" w:hAnsiTheme="minorHAnsi" w:cstheme="minorHAnsi"/>
          <w:i/>
        </w:rPr>
        <w:t xml:space="preserve">, </w:t>
      </w:r>
      <w:proofErr w:type="spellStart"/>
      <w:r w:rsidRPr="0099573A">
        <w:rPr>
          <w:rFonts w:asciiTheme="minorHAnsi" w:hAnsiTheme="minorHAnsi" w:cstheme="minorHAnsi"/>
          <w:i/>
        </w:rPr>
        <w:t>primjenjivaće</w:t>
      </w:r>
      <w:proofErr w:type="spellEnd"/>
      <w:r w:rsidRPr="0099573A">
        <w:rPr>
          <w:rFonts w:asciiTheme="minorHAnsi" w:hAnsiTheme="minorHAnsi" w:cstheme="minorHAnsi"/>
          <w:i/>
        </w:rPr>
        <w:t xml:space="preserve"> se </w:t>
      </w:r>
      <w:proofErr w:type="spellStart"/>
      <w:r w:rsidRPr="0099573A">
        <w:rPr>
          <w:rFonts w:asciiTheme="minorHAnsi" w:hAnsiTheme="minorHAnsi" w:cstheme="minorHAnsi"/>
          <w:i/>
        </w:rPr>
        <w:t>granična</w:t>
      </w:r>
      <w:proofErr w:type="spellEnd"/>
      <w:r w:rsidRPr="0099573A">
        <w:rPr>
          <w:rFonts w:asciiTheme="minorHAnsi" w:hAnsiTheme="minorHAnsi" w:cstheme="minorHAnsi"/>
          <w:i/>
        </w:rPr>
        <w:t xml:space="preserve"> </w:t>
      </w:r>
      <w:proofErr w:type="spellStart"/>
      <w:r w:rsidRPr="0099573A">
        <w:rPr>
          <w:rFonts w:asciiTheme="minorHAnsi" w:hAnsiTheme="minorHAnsi" w:cstheme="minorHAnsi"/>
          <w:i/>
        </w:rPr>
        <w:t>vrijednost</w:t>
      </w:r>
      <w:proofErr w:type="spellEnd"/>
      <w:r w:rsidRPr="0099573A">
        <w:rPr>
          <w:rFonts w:asciiTheme="minorHAnsi" w:hAnsiTheme="minorHAnsi" w:cstheme="minorHAnsi"/>
          <w:i/>
        </w:rPr>
        <w:t xml:space="preserve"> </w:t>
      </w:r>
      <w:proofErr w:type="spellStart"/>
      <w:r w:rsidRPr="0099573A">
        <w:rPr>
          <w:rFonts w:asciiTheme="minorHAnsi" w:hAnsiTheme="minorHAnsi" w:cstheme="minorHAnsi"/>
          <w:i/>
        </w:rPr>
        <w:t>koju</w:t>
      </w:r>
      <w:proofErr w:type="spellEnd"/>
      <w:r w:rsidRPr="0099573A">
        <w:rPr>
          <w:rFonts w:asciiTheme="minorHAnsi" w:hAnsiTheme="minorHAnsi" w:cstheme="minorHAnsi"/>
          <w:i/>
        </w:rPr>
        <w:t xml:space="preserve"> je BAT </w:t>
      </w:r>
      <w:proofErr w:type="spellStart"/>
      <w:r w:rsidRPr="0099573A">
        <w:rPr>
          <w:rFonts w:asciiTheme="minorHAnsi" w:hAnsiTheme="minorHAnsi" w:cstheme="minorHAnsi"/>
          <w:i/>
        </w:rPr>
        <w:t>prvo</w:t>
      </w:r>
      <w:proofErr w:type="spellEnd"/>
      <w:r w:rsidRPr="0099573A">
        <w:rPr>
          <w:rFonts w:asciiTheme="minorHAnsi" w:hAnsiTheme="minorHAnsi" w:cstheme="minorHAnsi"/>
          <w:i/>
        </w:rPr>
        <w:t xml:space="preserve"> </w:t>
      </w:r>
      <w:proofErr w:type="spellStart"/>
      <w:r w:rsidRPr="0099573A">
        <w:rPr>
          <w:rFonts w:asciiTheme="minorHAnsi" w:hAnsiTheme="minorHAnsi" w:cstheme="minorHAnsi"/>
          <w:i/>
        </w:rPr>
        <w:t>postigla</w:t>
      </w:r>
      <w:proofErr w:type="spellEnd"/>
      <w:r w:rsidRPr="0099573A">
        <w:rPr>
          <w:rFonts w:asciiTheme="minorHAnsi" w:hAnsiTheme="minorHAnsi" w:cstheme="minorHAnsi"/>
          <w:i/>
        </w:rPr>
        <w:t xml:space="preserve"> za </w:t>
      </w:r>
      <w:proofErr w:type="spellStart"/>
      <w:r w:rsidRPr="0099573A">
        <w:rPr>
          <w:rFonts w:asciiTheme="minorHAnsi" w:hAnsiTheme="minorHAnsi" w:cstheme="minorHAnsi"/>
          <w:i/>
        </w:rPr>
        <w:t>predmetno</w:t>
      </w:r>
      <w:proofErr w:type="spellEnd"/>
      <w:r w:rsidRPr="0099573A">
        <w:rPr>
          <w:rFonts w:asciiTheme="minorHAnsi" w:hAnsiTheme="minorHAnsi" w:cstheme="minorHAnsi"/>
          <w:i/>
        </w:rPr>
        <w:t xml:space="preserve"> </w:t>
      </w:r>
      <w:proofErr w:type="spellStart"/>
      <w:r w:rsidRPr="0099573A">
        <w:rPr>
          <w:rFonts w:asciiTheme="minorHAnsi" w:hAnsiTheme="minorHAnsi" w:cstheme="minorHAnsi"/>
          <w:i/>
        </w:rPr>
        <w:t>privredno</w:t>
      </w:r>
      <w:proofErr w:type="spellEnd"/>
      <w:r w:rsidRPr="0099573A">
        <w:rPr>
          <w:rFonts w:asciiTheme="minorHAnsi" w:hAnsiTheme="minorHAnsi" w:cstheme="minorHAnsi"/>
          <w:i/>
        </w:rPr>
        <w:t xml:space="preserve"> </w:t>
      </w:r>
      <w:proofErr w:type="spellStart"/>
      <w:r w:rsidRPr="0099573A">
        <w:rPr>
          <w:rFonts w:asciiTheme="minorHAnsi" w:hAnsiTheme="minorHAnsi" w:cstheme="minorHAnsi"/>
          <w:i/>
        </w:rPr>
        <w:t>društvo</w:t>
      </w:r>
      <w:proofErr w:type="spellEnd"/>
      <w:r w:rsidRPr="0099573A">
        <w:rPr>
          <w:rFonts w:asciiTheme="minorHAnsi" w:hAnsiTheme="minorHAnsi" w:cstheme="minorHAnsi"/>
          <w:i/>
        </w:rPr>
        <w:t>”.</w:t>
      </w:r>
    </w:p>
  </w:footnote>
  <w:footnote w:id="4">
    <w:p w14:paraId="31B7D962" w14:textId="77777777" w:rsidR="00211F70" w:rsidRPr="00E3742D" w:rsidRDefault="00211F70" w:rsidP="00211F70">
      <w:pPr>
        <w:pStyle w:val="FootnoteText"/>
        <w:spacing w:before="0" w:after="0"/>
        <w:ind w:left="0" w:firstLine="0"/>
        <w:rPr>
          <w:rFonts w:ascii="Calibri" w:hAnsi="Calibri" w:cs="Calibri"/>
          <w:i/>
          <w:lang w:val="sr-Latn-ME"/>
        </w:rPr>
      </w:pPr>
      <w:r w:rsidRPr="00E3742D">
        <w:rPr>
          <w:rStyle w:val="FootnoteReference"/>
          <w:rFonts w:ascii="Calibri" w:hAnsi="Calibri" w:cs="Calibri"/>
        </w:rPr>
        <w:footnoteRef/>
      </w:r>
      <w:r>
        <w:rPr>
          <w:rFonts w:ascii="Calibri" w:hAnsi="Calibri" w:cs="Calibri"/>
        </w:rPr>
        <w:t xml:space="preserve"> </w:t>
      </w:r>
      <w:proofErr w:type="spellStart"/>
      <w:r>
        <w:rPr>
          <w:rFonts w:ascii="Calibri" w:hAnsi="Calibri" w:cs="Calibri"/>
        </w:rPr>
        <w:t>Napominjemo</w:t>
      </w:r>
      <w:proofErr w:type="spellEnd"/>
      <w:r>
        <w:rPr>
          <w:rFonts w:ascii="Calibri" w:hAnsi="Calibri" w:cs="Calibri"/>
        </w:rPr>
        <w:t xml:space="preserve"> da se u </w:t>
      </w:r>
      <w:proofErr w:type="spellStart"/>
      <w:r>
        <w:rPr>
          <w:rFonts w:ascii="Calibri" w:hAnsi="Calibri" w:cs="Calibri"/>
        </w:rPr>
        <w:t>fusnoti</w:t>
      </w:r>
      <w:proofErr w:type="spellEnd"/>
      <w:r>
        <w:rPr>
          <w:rFonts w:ascii="Calibri" w:hAnsi="Calibri" w:cs="Calibri"/>
        </w:rPr>
        <w:t xml:space="preserve"> 42 CEEAG-a </w:t>
      </w:r>
      <w:proofErr w:type="spellStart"/>
      <w:r>
        <w:rPr>
          <w:rFonts w:ascii="Calibri" w:hAnsi="Calibri" w:cs="Calibri"/>
        </w:rPr>
        <w:t>navodi</w:t>
      </w:r>
      <w:proofErr w:type="spellEnd"/>
      <w:r>
        <w:rPr>
          <w:rFonts w:ascii="Calibri" w:hAnsi="Calibri" w:cs="Calibri"/>
        </w:rPr>
        <w:t xml:space="preserve"> </w:t>
      </w:r>
      <w:proofErr w:type="spellStart"/>
      <w:r>
        <w:rPr>
          <w:rFonts w:ascii="Calibri" w:hAnsi="Calibri" w:cs="Calibri"/>
        </w:rPr>
        <w:t>sljedeće</w:t>
      </w:r>
      <w:proofErr w:type="spellEnd"/>
      <w:r>
        <w:rPr>
          <w:rFonts w:ascii="Calibri" w:hAnsi="Calibri" w:cs="Calibri"/>
        </w:rPr>
        <w:t>: „</w:t>
      </w:r>
      <w:proofErr w:type="spellStart"/>
      <w:r>
        <w:rPr>
          <w:rFonts w:ascii="Calibri" w:hAnsi="Calibri" w:cs="Calibri"/>
          <w:i/>
        </w:rPr>
        <w:t>Trebalo</w:t>
      </w:r>
      <w:proofErr w:type="spellEnd"/>
      <w:r>
        <w:rPr>
          <w:rFonts w:ascii="Calibri" w:hAnsi="Calibri" w:cs="Calibri"/>
          <w:i/>
        </w:rPr>
        <w:t xml:space="preserve"> bi </w:t>
      </w:r>
      <w:proofErr w:type="spellStart"/>
      <w:r>
        <w:rPr>
          <w:rFonts w:ascii="Calibri" w:hAnsi="Calibri" w:cs="Calibri"/>
          <w:i/>
        </w:rPr>
        <w:t>izbjegavati</w:t>
      </w:r>
      <w:proofErr w:type="spellEnd"/>
      <w:r>
        <w:rPr>
          <w:rFonts w:ascii="Calibri" w:hAnsi="Calibri" w:cs="Calibri"/>
          <w:i/>
        </w:rPr>
        <w:t xml:space="preserve"> </w:t>
      </w:r>
      <w:proofErr w:type="spellStart"/>
      <w:r>
        <w:rPr>
          <w:rFonts w:ascii="Calibri" w:hAnsi="Calibri" w:cs="Calibri"/>
          <w:i/>
        </w:rPr>
        <w:t>najniže</w:t>
      </w:r>
      <w:proofErr w:type="spellEnd"/>
      <w:r>
        <w:rPr>
          <w:rFonts w:ascii="Calibri" w:hAnsi="Calibri" w:cs="Calibri"/>
          <w:i/>
        </w:rPr>
        <w:t xml:space="preserve"> </w:t>
      </w:r>
      <w:proofErr w:type="spellStart"/>
      <w:r>
        <w:rPr>
          <w:rFonts w:ascii="Calibri" w:hAnsi="Calibri" w:cs="Calibri"/>
          <w:i/>
        </w:rPr>
        <w:t>cijene</w:t>
      </w:r>
      <w:proofErr w:type="spellEnd"/>
      <w:r>
        <w:rPr>
          <w:rFonts w:ascii="Calibri" w:hAnsi="Calibri" w:cs="Calibri"/>
          <w:i/>
        </w:rPr>
        <w:t xml:space="preserve"> </w:t>
      </w:r>
      <w:proofErr w:type="spellStart"/>
      <w:r>
        <w:rPr>
          <w:rFonts w:ascii="Calibri" w:hAnsi="Calibri" w:cs="Calibri"/>
          <w:i/>
        </w:rPr>
        <w:t>ili</w:t>
      </w:r>
      <w:proofErr w:type="spellEnd"/>
      <w:r>
        <w:rPr>
          <w:rFonts w:ascii="Calibri" w:hAnsi="Calibri" w:cs="Calibri"/>
          <w:i/>
        </w:rPr>
        <w:t xml:space="preserve"> </w:t>
      </w:r>
      <w:proofErr w:type="spellStart"/>
      <w:r>
        <w:rPr>
          <w:rFonts w:ascii="Calibri" w:hAnsi="Calibri" w:cs="Calibri"/>
          <w:i/>
        </w:rPr>
        <w:t>gornje</w:t>
      </w:r>
      <w:proofErr w:type="spellEnd"/>
      <w:r>
        <w:rPr>
          <w:rFonts w:ascii="Calibri" w:hAnsi="Calibri" w:cs="Calibri"/>
          <w:i/>
        </w:rPr>
        <w:t xml:space="preserve"> </w:t>
      </w:r>
      <w:proofErr w:type="spellStart"/>
      <w:r>
        <w:rPr>
          <w:rFonts w:ascii="Calibri" w:hAnsi="Calibri" w:cs="Calibri"/>
          <w:i/>
        </w:rPr>
        <w:t>granice</w:t>
      </w:r>
      <w:proofErr w:type="spellEnd"/>
      <w:r>
        <w:rPr>
          <w:rFonts w:ascii="Calibri" w:hAnsi="Calibri" w:cs="Calibri"/>
          <w:i/>
        </w:rPr>
        <w:t xml:space="preserve"> </w:t>
      </w:r>
      <w:proofErr w:type="spellStart"/>
      <w:r>
        <w:rPr>
          <w:rFonts w:ascii="Calibri" w:hAnsi="Calibri" w:cs="Calibri"/>
          <w:i/>
        </w:rPr>
        <w:t>koje</w:t>
      </w:r>
      <w:proofErr w:type="spellEnd"/>
      <w:r>
        <w:rPr>
          <w:rFonts w:ascii="Calibri" w:hAnsi="Calibri" w:cs="Calibri"/>
          <w:i/>
        </w:rPr>
        <w:t xml:space="preserve"> </w:t>
      </w:r>
      <w:proofErr w:type="spellStart"/>
      <w:r>
        <w:rPr>
          <w:rFonts w:ascii="Calibri" w:hAnsi="Calibri" w:cs="Calibri"/>
          <w:i/>
        </w:rPr>
        <w:t>ograničavaju</w:t>
      </w:r>
      <w:proofErr w:type="spellEnd"/>
      <w:r>
        <w:rPr>
          <w:rFonts w:ascii="Calibri" w:hAnsi="Calibri" w:cs="Calibri"/>
          <w:i/>
        </w:rPr>
        <w:t xml:space="preserve"> </w:t>
      </w:r>
      <w:proofErr w:type="spellStart"/>
      <w:r>
        <w:rPr>
          <w:rFonts w:ascii="Calibri" w:hAnsi="Calibri" w:cs="Calibri"/>
          <w:i/>
        </w:rPr>
        <w:t>konkurentski</w:t>
      </w:r>
      <w:proofErr w:type="spellEnd"/>
      <w:r>
        <w:rPr>
          <w:rFonts w:ascii="Calibri" w:hAnsi="Calibri" w:cs="Calibri"/>
          <w:i/>
        </w:rPr>
        <w:t xml:space="preserve"> </w:t>
      </w:r>
      <w:proofErr w:type="spellStart"/>
      <w:r>
        <w:rPr>
          <w:rFonts w:ascii="Calibri" w:hAnsi="Calibri" w:cs="Calibri"/>
          <w:i/>
        </w:rPr>
        <w:t>postupak</w:t>
      </w:r>
      <w:proofErr w:type="spellEnd"/>
      <w:r>
        <w:rPr>
          <w:rFonts w:ascii="Calibri" w:hAnsi="Calibri" w:cs="Calibri"/>
          <w:i/>
        </w:rPr>
        <w:t xml:space="preserve"> </w:t>
      </w:r>
      <w:proofErr w:type="spellStart"/>
      <w:r>
        <w:rPr>
          <w:rFonts w:ascii="Calibri" w:hAnsi="Calibri" w:cs="Calibri"/>
          <w:i/>
        </w:rPr>
        <w:t>ugrožavanjem</w:t>
      </w:r>
      <w:proofErr w:type="spellEnd"/>
      <w:r>
        <w:rPr>
          <w:rFonts w:ascii="Calibri" w:hAnsi="Calibri" w:cs="Calibri"/>
          <w:i/>
        </w:rPr>
        <w:t xml:space="preserve"> </w:t>
      </w:r>
      <w:proofErr w:type="spellStart"/>
      <w:r>
        <w:rPr>
          <w:rFonts w:ascii="Calibri" w:hAnsi="Calibri" w:cs="Calibri"/>
          <w:i/>
        </w:rPr>
        <w:t>proporcionalnosti</w:t>
      </w:r>
      <w:proofErr w:type="spellEnd"/>
      <w:r>
        <w:rPr>
          <w:rFonts w:ascii="Calibri" w:hAnsi="Calibri" w:cs="Calibri"/>
          <w:i/>
        </w:rPr>
        <w:t xml:space="preserve">, </w:t>
      </w:r>
      <w:proofErr w:type="spellStart"/>
      <w:r>
        <w:rPr>
          <w:rFonts w:ascii="Calibri" w:hAnsi="Calibri" w:cs="Calibri"/>
          <w:i/>
        </w:rPr>
        <w:t>čak</w:t>
      </w:r>
      <w:proofErr w:type="spellEnd"/>
      <w:r>
        <w:rPr>
          <w:rFonts w:ascii="Calibri" w:hAnsi="Calibri" w:cs="Calibri"/>
          <w:i/>
        </w:rPr>
        <w:t xml:space="preserve"> i </w:t>
      </w:r>
      <w:proofErr w:type="spellStart"/>
      <w:r>
        <w:rPr>
          <w:rFonts w:ascii="Calibri" w:hAnsi="Calibri" w:cs="Calibri"/>
          <w:i/>
        </w:rPr>
        <w:t>ako</w:t>
      </w:r>
      <w:proofErr w:type="spellEnd"/>
      <w:r>
        <w:rPr>
          <w:rFonts w:ascii="Calibri" w:hAnsi="Calibri" w:cs="Calibri"/>
          <w:i/>
        </w:rPr>
        <w:t xml:space="preserve"> </w:t>
      </w:r>
      <w:proofErr w:type="spellStart"/>
      <w:r>
        <w:rPr>
          <w:rFonts w:ascii="Calibri" w:hAnsi="Calibri" w:cs="Calibri"/>
          <w:i/>
        </w:rPr>
        <w:t>su</w:t>
      </w:r>
      <w:proofErr w:type="spellEnd"/>
      <w:r>
        <w:rPr>
          <w:rFonts w:ascii="Calibri" w:hAnsi="Calibri" w:cs="Calibri"/>
          <w:i/>
        </w:rPr>
        <w:t xml:space="preserve"> </w:t>
      </w:r>
      <w:proofErr w:type="spellStart"/>
      <w:r>
        <w:rPr>
          <w:rFonts w:ascii="Calibri" w:hAnsi="Calibri" w:cs="Calibri"/>
          <w:i/>
        </w:rPr>
        <w:t>jednake</w:t>
      </w:r>
      <w:proofErr w:type="spellEnd"/>
      <w:r>
        <w:rPr>
          <w:rFonts w:ascii="Calibri" w:hAnsi="Calibri" w:cs="Calibri"/>
          <w:i/>
        </w:rPr>
        <w:t xml:space="preserve"> </w:t>
      </w:r>
      <w:proofErr w:type="spellStart"/>
      <w:r>
        <w:rPr>
          <w:rFonts w:ascii="Calibri" w:hAnsi="Calibri" w:cs="Calibri"/>
          <w:i/>
        </w:rPr>
        <w:t>nuli</w:t>
      </w:r>
      <w:proofErr w:type="spellEnd"/>
      <w:r>
        <w:rPr>
          <w:rFonts w:ascii="Calibri" w:hAnsi="Calibri" w:cs="Calibri"/>
          <w:i/>
        </w:rPr>
        <w:t>.“</w:t>
      </w:r>
    </w:p>
  </w:footnote>
  <w:footnote w:id="5">
    <w:p w14:paraId="751B603C" w14:textId="77777777" w:rsidR="00211F70" w:rsidRPr="00080A49" w:rsidRDefault="00211F70" w:rsidP="00211F70">
      <w:pPr>
        <w:pStyle w:val="FootnoteText"/>
        <w:spacing w:before="0" w:after="0"/>
        <w:ind w:left="0" w:firstLine="0"/>
        <w:rPr>
          <w:rFonts w:asciiTheme="minorHAnsi" w:hAnsiTheme="minorHAnsi" w:cstheme="minorHAnsi"/>
        </w:rPr>
      </w:pPr>
      <w:r w:rsidRPr="00080A49">
        <w:rPr>
          <w:rStyle w:val="FootnoteReference"/>
          <w:rFonts w:asciiTheme="minorHAnsi" w:hAnsiTheme="minorHAnsi" w:cstheme="minorHAnsi"/>
        </w:rPr>
        <w:footnoteRef/>
      </w:r>
      <w:r w:rsidRPr="00080A49">
        <w:rPr>
          <w:rFonts w:asciiTheme="minorHAnsi" w:hAnsiTheme="minorHAnsi" w:cstheme="minorHAnsi"/>
        </w:rPr>
        <w:tab/>
      </w:r>
      <w:proofErr w:type="spellStart"/>
      <w:r w:rsidRPr="00080A49">
        <w:rPr>
          <w:rFonts w:asciiTheme="minorHAnsi" w:hAnsiTheme="minorHAnsi" w:cstheme="minorHAnsi"/>
        </w:rPr>
        <w:t>Vidjeti</w:t>
      </w:r>
      <w:proofErr w:type="spellEnd"/>
      <w:r w:rsidRPr="00080A49">
        <w:rPr>
          <w:rFonts w:asciiTheme="minorHAnsi" w:hAnsiTheme="minorHAnsi" w:cstheme="minorHAnsi"/>
        </w:rPr>
        <w:t xml:space="preserve"> i </w:t>
      </w:r>
      <w:proofErr w:type="spellStart"/>
      <w:r w:rsidRPr="00080A49">
        <w:rPr>
          <w:rFonts w:asciiTheme="minorHAnsi" w:hAnsiTheme="minorHAnsi" w:cstheme="minorHAnsi"/>
        </w:rPr>
        <w:t>dodatne</w:t>
      </w:r>
      <w:proofErr w:type="spellEnd"/>
      <w:r w:rsidRPr="00080A49">
        <w:rPr>
          <w:rFonts w:asciiTheme="minorHAnsi" w:hAnsiTheme="minorHAnsi" w:cstheme="minorHAnsi"/>
        </w:rPr>
        <w:t xml:space="preserve"> </w:t>
      </w:r>
      <w:proofErr w:type="spellStart"/>
      <w:r w:rsidRPr="00080A49">
        <w:rPr>
          <w:rFonts w:asciiTheme="minorHAnsi" w:hAnsiTheme="minorHAnsi" w:cstheme="minorHAnsi"/>
        </w:rPr>
        <w:t>informacije</w:t>
      </w:r>
      <w:proofErr w:type="spellEnd"/>
      <w:r w:rsidRPr="00080A49">
        <w:rPr>
          <w:rFonts w:asciiTheme="minorHAnsi" w:hAnsiTheme="minorHAnsi" w:cstheme="minorHAnsi"/>
        </w:rPr>
        <w:t xml:space="preserve"> u </w:t>
      </w:r>
      <w:proofErr w:type="spellStart"/>
      <w:r w:rsidRPr="00080A49">
        <w:rPr>
          <w:rFonts w:asciiTheme="minorHAnsi" w:hAnsiTheme="minorHAnsi" w:cstheme="minorHAnsi"/>
        </w:rPr>
        <w:t>t</w:t>
      </w:r>
      <w:r>
        <w:rPr>
          <w:rFonts w:asciiTheme="minorHAnsi" w:hAnsiTheme="minorHAnsi" w:cstheme="minorHAnsi"/>
        </w:rPr>
        <w:t>a</w:t>
      </w:r>
      <w:r w:rsidRPr="00080A49">
        <w:rPr>
          <w:rFonts w:asciiTheme="minorHAnsi" w:hAnsiTheme="minorHAnsi" w:cstheme="minorHAnsi"/>
        </w:rPr>
        <w:t>čkama</w:t>
      </w:r>
      <w:proofErr w:type="spellEnd"/>
      <w:r w:rsidRPr="00080A49">
        <w:rPr>
          <w:rFonts w:asciiTheme="minorHAnsi" w:hAnsiTheme="minorHAnsi" w:cstheme="minorHAnsi"/>
        </w:rPr>
        <w:t xml:space="preserve"> od 51 do 53 </w:t>
      </w:r>
      <w:proofErr w:type="spellStart"/>
      <w:r>
        <w:rPr>
          <w:rFonts w:asciiTheme="minorHAnsi" w:hAnsiTheme="minorHAnsi" w:cstheme="minorHAnsi"/>
        </w:rPr>
        <w:t>kao</w:t>
      </w:r>
      <w:proofErr w:type="spellEnd"/>
      <w:r>
        <w:rPr>
          <w:rFonts w:asciiTheme="minorHAnsi" w:hAnsiTheme="minorHAnsi" w:cstheme="minorHAnsi"/>
        </w:rPr>
        <w:t xml:space="preserve"> i </w:t>
      </w:r>
      <w:proofErr w:type="spellStart"/>
      <w:r>
        <w:rPr>
          <w:rFonts w:asciiTheme="minorHAnsi" w:hAnsiTheme="minorHAnsi" w:cstheme="minorHAnsi"/>
        </w:rPr>
        <w:t>fusnotama</w:t>
      </w:r>
      <w:proofErr w:type="spellEnd"/>
      <w:r w:rsidRPr="00080A49">
        <w:rPr>
          <w:rFonts w:asciiTheme="minorHAnsi" w:hAnsiTheme="minorHAnsi" w:cstheme="minorHAnsi"/>
        </w:rPr>
        <w:t xml:space="preserve"> 45</w:t>
      </w:r>
      <w:r>
        <w:rPr>
          <w:rFonts w:asciiTheme="minorHAnsi" w:hAnsiTheme="minorHAnsi" w:cstheme="minorHAnsi"/>
        </w:rPr>
        <w:t xml:space="preserve">, </w:t>
      </w:r>
      <w:r w:rsidRPr="00080A49">
        <w:rPr>
          <w:rFonts w:asciiTheme="minorHAnsi" w:hAnsiTheme="minorHAnsi" w:cstheme="minorHAnsi"/>
        </w:rPr>
        <w:t>46</w:t>
      </w:r>
      <w:r>
        <w:rPr>
          <w:rFonts w:asciiTheme="minorHAnsi" w:hAnsiTheme="minorHAnsi" w:cstheme="minorHAnsi"/>
        </w:rPr>
        <w:t xml:space="preserve"> i 55</w:t>
      </w:r>
      <w:r w:rsidRPr="00080A49">
        <w:rPr>
          <w:rFonts w:asciiTheme="minorHAnsi" w:hAnsiTheme="minorHAnsi" w:cstheme="minorHAnsi"/>
        </w:rPr>
        <w:t xml:space="preserve"> CEEAG-a.</w:t>
      </w:r>
    </w:p>
  </w:footnote>
  <w:footnote w:id="6">
    <w:p w14:paraId="3647E39F" w14:textId="77777777" w:rsidR="00211F70" w:rsidRPr="00746E88" w:rsidRDefault="00211F70" w:rsidP="00211F70">
      <w:pPr>
        <w:pStyle w:val="FootnoteText"/>
        <w:ind w:left="0" w:firstLine="0"/>
        <w:contextualSpacing/>
        <w:rPr>
          <w:rFonts w:asciiTheme="minorHAnsi" w:hAnsiTheme="minorHAnsi" w:cstheme="minorHAnsi"/>
        </w:rPr>
      </w:pPr>
      <w:r w:rsidRPr="00746E88">
        <w:rPr>
          <w:rStyle w:val="FootnoteReference"/>
          <w:rFonts w:asciiTheme="minorHAnsi" w:hAnsiTheme="minorHAnsi" w:cstheme="minorHAnsi"/>
        </w:rPr>
        <w:footnoteRef/>
      </w:r>
      <w:r>
        <w:rPr>
          <w:rFonts w:asciiTheme="minorHAnsi" w:hAnsiTheme="minorHAnsi" w:cstheme="minorHAnsi"/>
        </w:rPr>
        <w:t xml:space="preserve"> </w:t>
      </w:r>
      <w:r w:rsidRPr="00746E88">
        <w:rPr>
          <w:rFonts w:asciiTheme="minorHAnsi" w:hAnsiTheme="minorHAnsi" w:cstheme="minorHAnsi"/>
        </w:rPr>
        <w:tab/>
      </w:r>
      <w:proofErr w:type="spellStart"/>
      <w:r w:rsidRPr="00746E88">
        <w:rPr>
          <w:rFonts w:asciiTheme="minorHAnsi" w:hAnsiTheme="minorHAnsi" w:cstheme="minorHAnsi"/>
        </w:rPr>
        <w:t>Finansijska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sredstva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Unije</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kojima</w:t>
      </w:r>
      <w:proofErr w:type="spellEnd"/>
      <w:r w:rsidRPr="00746E88">
        <w:rPr>
          <w:rFonts w:asciiTheme="minorHAnsi" w:hAnsiTheme="minorHAnsi" w:cstheme="minorHAnsi"/>
        </w:rPr>
        <w:t xml:space="preserve"> se </w:t>
      </w:r>
      <w:proofErr w:type="spellStart"/>
      <w:r w:rsidRPr="00746E88">
        <w:rPr>
          <w:rFonts w:asciiTheme="minorHAnsi" w:hAnsiTheme="minorHAnsi" w:cstheme="minorHAnsi"/>
        </w:rPr>
        <w:t>centralizovano</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upravlja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su</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finansijska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sredstva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Unije</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kojima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upravljaju</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institucije</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agencije</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zajedni</w:t>
      </w:r>
      <w:r>
        <w:rPr>
          <w:rFonts w:asciiTheme="minorHAnsi" w:hAnsiTheme="minorHAnsi" w:cstheme="minorHAnsi"/>
        </w:rPr>
        <w:t>čka</w:t>
      </w:r>
      <w:proofErr w:type="spellEnd"/>
      <w:r>
        <w:rPr>
          <w:rFonts w:asciiTheme="minorHAnsi" w:hAnsiTheme="minorHAnsi" w:cstheme="minorHAnsi"/>
        </w:rPr>
        <w:t xml:space="preserve"> </w:t>
      </w:r>
      <w:proofErr w:type="spellStart"/>
      <w:r>
        <w:rPr>
          <w:rFonts w:asciiTheme="minorHAnsi" w:hAnsiTheme="minorHAnsi" w:cstheme="minorHAnsi"/>
        </w:rPr>
        <w:t>privredna</w:t>
      </w:r>
      <w:proofErr w:type="spellEnd"/>
      <w:r>
        <w:rPr>
          <w:rFonts w:asciiTheme="minorHAnsi" w:hAnsiTheme="minorHAnsi" w:cstheme="minorHAnsi"/>
        </w:rPr>
        <w:t xml:space="preserve"> </w:t>
      </w:r>
      <w:proofErr w:type="spellStart"/>
      <w:r>
        <w:rPr>
          <w:rFonts w:asciiTheme="minorHAnsi" w:hAnsiTheme="minorHAnsi" w:cstheme="minorHAnsi"/>
        </w:rPr>
        <w:t>društva</w:t>
      </w:r>
      <w:proofErr w:type="spellEnd"/>
      <w:r>
        <w:rPr>
          <w:rFonts w:asciiTheme="minorHAnsi" w:hAnsiTheme="minorHAnsi" w:cstheme="minorHAnsi"/>
        </w:rPr>
        <w:t xml:space="preserve"> </w:t>
      </w:r>
      <w:proofErr w:type="spellStart"/>
      <w:r>
        <w:rPr>
          <w:rFonts w:asciiTheme="minorHAnsi" w:hAnsiTheme="minorHAnsi" w:cstheme="minorHAnsi"/>
        </w:rPr>
        <w:t>ili</w:t>
      </w:r>
      <w:proofErr w:type="spellEnd"/>
      <w:r>
        <w:rPr>
          <w:rFonts w:asciiTheme="minorHAnsi" w:hAnsiTheme="minorHAnsi" w:cstheme="minorHAnsi"/>
        </w:rPr>
        <w:t xml:space="preserve"> </w:t>
      </w:r>
      <w:proofErr w:type="spellStart"/>
      <w:r>
        <w:rPr>
          <w:rFonts w:asciiTheme="minorHAnsi" w:hAnsiTheme="minorHAnsi" w:cstheme="minorHAnsi"/>
        </w:rPr>
        <w:t>ostali</w:t>
      </w:r>
      <w:proofErr w:type="spellEnd"/>
      <w:r>
        <w:rPr>
          <w:rFonts w:asciiTheme="minorHAnsi" w:hAnsiTheme="minorHAnsi" w:cstheme="minorHAnsi"/>
        </w:rPr>
        <w:t xml:space="preserve"> </w:t>
      </w:r>
      <w:proofErr w:type="spellStart"/>
      <w:r>
        <w:rPr>
          <w:rFonts w:asciiTheme="minorHAnsi" w:hAnsiTheme="minorHAnsi" w:cstheme="minorHAnsi"/>
        </w:rPr>
        <w:t>organi</w:t>
      </w:r>
      <w:proofErr w:type="spellEnd"/>
      <w:r>
        <w:rPr>
          <w:rFonts w:asciiTheme="minorHAnsi" w:hAnsiTheme="minorHAnsi" w:cstheme="minorHAnsi"/>
        </w:rPr>
        <w:t xml:space="preserve"> </w:t>
      </w:r>
      <w:proofErr w:type="spellStart"/>
      <w:r>
        <w:rPr>
          <w:rFonts w:asciiTheme="minorHAnsi" w:hAnsiTheme="minorHAnsi" w:cstheme="minorHAnsi"/>
        </w:rPr>
        <w:t>Ev</w:t>
      </w:r>
      <w:r w:rsidRPr="00746E88">
        <w:rPr>
          <w:rFonts w:asciiTheme="minorHAnsi" w:hAnsiTheme="minorHAnsi" w:cstheme="minorHAnsi"/>
        </w:rPr>
        <w:t>ropske</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unije</w:t>
      </w:r>
      <w:proofErr w:type="spellEnd"/>
      <w:r w:rsidRPr="00746E88">
        <w:rPr>
          <w:rFonts w:asciiTheme="minorHAnsi" w:hAnsiTheme="minorHAnsi" w:cstheme="minorHAnsi"/>
        </w:rPr>
        <w:t xml:space="preserve"> i </w:t>
      </w:r>
      <w:proofErr w:type="spellStart"/>
      <w:r w:rsidRPr="00746E88">
        <w:rPr>
          <w:rFonts w:asciiTheme="minorHAnsi" w:hAnsiTheme="minorHAnsi" w:cstheme="minorHAnsi"/>
        </w:rPr>
        <w:t>koja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nisu</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direktno</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ili</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indirektno</w:t>
      </w:r>
      <w:proofErr w:type="spellEnd"/>
      <w:r w:rsidRPr="00746E88">
        <w:rPr>
          <w:rFonts w:asciiTheme="minorHAnsi" w:hAnsiTheme="minorHAnsi" w:cstheme="minorHAnsi"/>
        </w:rPr>
        <w:t xml:space="preserve"> pod </w:t>
      </w:r>
      <w:proofErr w:type="spellStart"/>
      <w:r w:rsidRPr="00746E88">
        <w:rPr>
          <w:rFonts w:asciiTheme="minorHAnsi" w:hAnsiTheme="minorHAnsi" w:cstheme="minorHAnsi"/>
        </w:rPr>
        <w:t>kontrolom</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država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članica</w:t>
      </w:r>
      <w:proofErr w:type="spellEnd"/>
      <w:r w:rsidRPr="00746E88">
        <w:rPr>
          <w:rFonts w:asciiTheme="minorHAnsi" w:hAnsiTheme="minorHAnsi" w:cstheme="minorHAnsi"/>
        </w:rPr>
        <w:t>.</w:t>
      </w:r>
    </w:p>
  </w:footnote>
  <w:footnote w:id="7">
    <w:p w14:paraId="7EF40E1E" w14:textId="77777777" w:rsidR="00211F70" w:rsidRPr="00450C30" w:rsidRDefault="00211F70" w:rsidP="00211F70">
      <w:pPr>
        <w:pStyle w:val="FootnoteText"/>
        <w:spacing w:before="0" w:after="0"/>
        <w:ind w:left="0" w:firstLine="0"/>
        <w:rPr>
          <w:rFonts w:asciiTheme="minorHAnsi" w:hAnsiTheme="minorHAnsi" w:cstheme="minorHAnsi"/>
          <w:lang w:val="sr-Latn-ME"/>
        </w:rPr>
      </w:pPr>
      <w:r w:rsidRPr="00450C30">
        <w:rPr>
          <w:rStyle w:val="FootnoteReference"/>
          <w:rFonts w:asciiTheme="minorHAnsi" w:hAnsiTheme="minorHAnsi" w:cstheme="minorHAnsi"/>
        </w:rPr>
        <w:footnoteRef/>
      </w:r>
      <w:r>
        <w:rPr>
          <w:rFonts w:asciiTheme="minorHAnsi" w:hAnsiTheme="minorHAnsi" w:cstheme="minorHAnsi"/>
        </w:rPr>
        <w:t xml:space="preserve"> </w:t>
      </w:r>
      <w:r w:rsidRPr="00450C30">
        <w:rPr>
          <w:rFonts w:asciiTheme="minorHAnsi" w:hAnsiTheme="minorHAnsi" w:cstheme="minorHAnsi"/>
        </w:rPr>
        <w:t xml:space="preserve">U </w:t>
      </w:r>
      <w:proofErr w:type="spellStart"/>
      <w:r w:rsidRPr="00450C30">
        <w:rPr>
          <w:rFonts w:asciiTheme="minorHAnsi" w:hAnsiTheme="minorHAnsi" w:cstheme="minorHAnsi"/>
        </w:rPr>
        <w:t>skladu</w:t>
      </w:r>
      <w:proofErr w:type="spellEnd"/>
      <w:r w:rsidRPr="00450C30">
        <w:rPr>
          <w:rFonts w:asciiTheme="minorHAnsi" w:hAnsiTheme="minorHAnsi" w:cstheme="minorHAnsi"/>
        </w:rPr>
        <w:t xml:space="preserve"> </w:t>
      </w:r>
      <w:proofErr w:type="spellStart"/>
      <w:r w:rsidRPr="00450C30">
        <w:rPr>
          <w:rFonts w:asciiTheme="minorHAnsi" w:hAnsiTheme="minorHAnsi" w:cstheme="minorHAnsi"/>
        </w:rPr>
        <w:t>s</w:t>
      </w:r>
      <w:r>
        <w:rPr>
          <w:rFonts w:asciiTheme="minorHAnsi" w:hAnsiTheme="minorHAnsi" w:cstheme="minorHAnsi"/>
        </w:rPr>
        <w:t>a</w:t>
      </w:r>
      <w:proofErr w:type="spellEnd"/>
      <w:r w:rsidRPr="00450C30">
        <w:rPr>
          <w:rFonts w:asciiTheme="minorHAnsi" w:hAnsiTheme="minorHAnsi" w:cstheme="minorHAnsi"/>
        </w:rPr>
        <w:t xml:space="preserve"> </w:t>
      </w:r>
      <w:proofErr w:type="spellStart"/>
      <w:r w:rsidRPr="00450C30">
        <w:rPr>
          <w:rFonts w:asciiTheme="minorHAnsi" w:hAnsiTheme="minorHAnsi" w:cstheme="minorHAnsi"/>
        </w:rPr>
        <w:t>t</w:t>
      </w:r>
      <w:r>
        <w:rPr>
          <w:rFonts w:asciiTheme="minorHAnsi" w:hAnsiTheme="minorHAnsi" w:cstheme="minorHAnsi"/>
        </w:rPr>
        <w:t>a</w:t>
      </w:r>
      <w:r w:rsidRPr="00450C30">
        <w:rPr>
          <w:rFonts w:asciiTheme="minorHAnsi" w:hAnsiTheme="minorHAnsi" w:cstheme="minorHAnsi"/>
        </w:rPr>
        <w:t>čkom</w:t>
      </w:r>
      <w:proofErr w:type="spellEnd"/>
      <w:r w:rsidRPr="00450C30">
        <w:rPr>
          <w:rFonts w:asciiTheme="minorHAnsi" w:hAnsiTheme="minorHAnsi" w:cstheme="minorHAnsi"/>
        </w:rPr>
        <w:t xml:space="preserve"> 367 CEEAG-a: „</w:t>
      </w:r>
      <w:proofErr w:type="spellStart"/>
      <w:r w:rsidRPr="00450C30">
        <w:rPr>
          <w:rFonts w:asciiTheme="minorHAnsi" w:hAnsiTheme="minorHAnsi" w:cstheme="minorHAnsi"/>
        </w:rPr>
        <w:t>takva</w:t>
      </w:r>
      <w:proofErr w:type="spellEnd"/>
      <w:r w:rsidRPr="00450C30">
        <w:rPr>
          <w:rFonts w:asciiTheme="minorHAnsi" w:hAnsiTheme="minorHAnsi" w:cstheme="minorHAnsi"/>
        </w:rPr>
        <w:t xml:space="preserve"> </w:t>
      </w:r>
      <w:proofErr w:type="spellStart"/>
      <w:r w:rsidRPr="00450C30">
        <w:rPr>
          <w:rFonts w:asciiTheme="minorHAnsi" w:hAnsiTheme="minorHAnsi" w:cstheme="minorHAnsi"/>
        </w:rPr>
        <w:t>raspodjela</w:t>
      </w:r>
      <w:proofErr w:type="spellEnd"/>
      <w:r w:rsidRPr="00450C30">
        <w:rPr>
          <w:rFonts w:asciiTheme="minorHAnsi" w:hAnsiTheme="minorHAnsi" w:cstheme="minorHAnsi"/>
        </w:rPr>
        <w:t xml:space="preserve"> </w:t>
      </w:r>
      <w:proofErr w:type="spellStart"/>
      <w:r w:rsidRPr="00450C30">
        <w:rPr>
          <w:rFonts w:asciiTheme="minorHAnsi" w:hAnsiTheme="minorHAnsi" w:cstheme="minorHAnsi"/>
        </w:rPr>
        <w:t>troškova</w:t>
      </w:r>
      <w:proofErr w:type="spellEnd"/>
      <w:r w:rsidRPr="00450C30">
        <w:rPr>
          <w:rFonts w:asciiTheme="minorHAnsi" w:hAnsiTheme="minorHAnsi" w:cstheme="minorHAnsi"/>
        </w:rPr>
        <w:t xml:space="preserve"> </w:t>
      </w:r>
      <w:proofErr w:type="spellStart"/>
      <w:r w:rsidRPr="00450C30">
        <w:rPr>
          <w:rFonts w:asciiTheme="minorHAnsi" w:hAnsiTheme="minorHAnsi" w:cstheme="minorHAnsi"/>
        </w:rPr>
        <w:t>možda</w:t>
      </w:r>
      <w:proofErr w:type="spellEnd"/>
      <w:r w:rsidRPr="00450C30">
        <w:rPr>
          <w:rFonts w:asciiTheme="minorHAnsi" w:hAnsiTheme="minorHAnsi" w:cstheme="minorHAnsi"/>
        </w:rPr>
        <w:t xml:space="preserve"> </w:t>
      </w:r>
      <w:proofErr w:type="spellStart"/>
      <w:r w:rsidRPr="00450C30">
        <w:rPr>
          <w:rFonts w:asciiTheme="minorHAnsi" w:hAnsiTheme="minorHAnsi" w:cstheme="minorHAnsi"/>
        </w:rPr>
        <w:t>neće</w:t>
      </w:r>
      <w:proofErr w:type="spellEnd"/>
      <w:r w:rsidRPr="00450C30">
        <w:rPr>
          <w:rFonts w:asciiTheme="minorHAnsi" w:hAnsiTheme="minorHAnsi" w:cstheme="minorHAnsi"/>
        </w:rPr>
        <w:t xml:space="preserve"> </w:t>
      </w:r>
      <w:proofErr w:type="spellStart"/>
      <w:r w:rsidRPr="00450C30">
        <w:rPr>
          <w:rFonts w:asciiTheme="minorHAnsi" w:hAnsiTheme="minorHAnsi" w:cstheme="minorHAnsi"/>
        </w:rPr>
        <w:t>biti</w:t>
      </w:r>
      <w:proofErr w:type="spellEnd"/>
      <w:r w:rsidRPr="00450C30">
        <w:rPr>
          <w:rFonts w:asciiTheme="minorHAnsi" w:hAnsiTheme="minorHAnsi" w:cstheme="minorHAnsi"/>
        </w:rPr>
        <w:t xml:space="preserve"> </w:t>
      </w:r>
      <w:proofErr w:type="spellStart"/>
      <w:r w:rsidRPr="00450C30">
        <w:rPr>
          <w:rFonts w:asciiTheme="minorHAnsi" w:hAnsiTheme="minorHAnsi" w:cstheme="minorHAnsi"/>
        </w:rPr>
        <w:t>potrebna</w:t>
      </w:r>
      <w:proofErr w:type="spellEnd"/>
      <w:r w:rsidRPr="00450C30">
        <w:rPr>
          <w:rFonts w:asciiTheme="minorHAnsi" w:hAnsiTheme="minorHAnsi" w:cstheme="minorHAnsi"/>
        </w:rPr>
        <w:t xml:space="preserve"> </w:t>
      </w:r>
      <w:proofErr w:type="spellStart"/>
      <w:r w:rsidRPr="00450C30">
        <w:rPr>
          <w:rFonts w:asciiTheme="minorHAnsi" w:hAnsiTheme="minorHAnsi" w:cstheme="minorHAnsi"/>
        </w:rPr>
        <w:t>ako</w:t>
      </w:r>
      <w:proofErr w:type="spellEnd"/>
      <w:r w:rsidRPr="00450C30">
        <w:rPr>
          <w:rFonts w:asciiTheme="minorHAnsi" w:hAnsiTheme="minorHAnsi" w:cstheme="minorHAnsi"/>
        </w:rPr>
        <w:t xml:space="preserve"> </w:t>
      </w:r>
      <w:proofErr w:type="spellStart"/>
      <w:r w:rsidRPr="00450C30">
        <w:rPr>
          <w:rFonts w:asciiTheme="minorHAnsi" w:hAnsiTheme="minorHAnsi" w:cstheme="minorHAnsi"/>
        </w:rPr>
        <w:t>država</w:t>
      </w:r>
      <w:proofErr w:type="spellEnd"/>
      <w:r w:rsidRPr="00450C30">
        <w:rPr>
          <w:rFonts w:asciiTheme="minorHAnsi" w:hAnsiTheme="minorHAnsi" w:cstheme="minorHAnsi"/>
        </w:rPr>
        <w:t xml:space="preserve"> </w:t>
      </w:r>
      <w:proofErr w:type="spellStart"/>
      <w:r w:rsidRPr="00450C30">
        <w:rPr>
          <w:rFonts w:asciiTheme="minorHAnsi" w:hAnsiTheme="minorHAnsi" w:cstheme="minorHAnsi"/>
        </w:rPr>
        <w:t>članica</w:t>
      </w:r>
      <w:proofErr w:type="spellEnd"/>
      <w:r w:rsidRPr="00450C30">
        <w:rPr>
          <w:rFonts w:asciiTheme="minorHAnsi" w:hAnsiTheme="minorHAnsi" w:cstheme="minorHAnsi"/>
        </w:rPr>
        <w:t xml:space="preserve"> </w:t>
      </w:r>
      <w:proofErr w:type="spellStart"/>
      <w:r w:rsidRPr="00450C30">
        <w:rPr>
          <w:rFonts w:asciiTheme="minorHAnsi" w:hAnsiTheme="minorHAnsi" w:cstheme="minorHAnsi"/>
        </w:rPr>
        <w:t>dostavi</w:t>
      </w:r>
      <w:proofErr w:type="spellEnd"/>
      <w:r w:rsidRPr="00450C30">
        <w:rPr>
          <w:rFonts w:asciiTheme="minorHAnsi" w:hAnsiTheme="minorHAnsi" w:cstheme="minorHAnsi"/>
        </w:rPr>
        <w:t xml:space="preserve"> </w:t>
      </w:r>
      <w:proofErr w:type="spellStart"/>
      <w:r w:rsidRPr="00450C30">
        <w:rPr>
          <w:rFonts w:asciiTheme="minorHAnsi" w:hAnsiTheme="minorHAnsi" w:cstheme="minorHAnsi"/>
        </w:rPr>
        <w:t>analizu</w:t>
      </w:r>
      <w:proofErr w:type="spellEnd"/>
      <w:r w:rsidRPr="00450C30">
        <w:rPr>
          <w:rFonts w:asciiTheme="minorHAnsi" w:hAnsiTheme="minorHAnsi" w:cstheme="minorHAnsi"/>
        </w:rPr>
        <w:t xml:space="preserve"> </w:t>
      </w:r>
      <w:proofErr w:type="spellStart"/>
      <w:r w:rsidRPr="00450C30">
        <w:rPr>
          <w:rFonts w:asciiTheme="minorHAnsi" w:hAnsiTheme="minorHAnsi" w:cstheme="minorHAnsi"/>
        </w:rPr>
        <w:t>na</w:t>
      </w:r>
      <w:proofErr w:type="spellEnd"/>
      <w:r w:rsidRPr="00450C30">
        <w:rPr>
          <w:rFonts w:asciiTheme="minorHAnsi" w:hAnsiTheme="minorHAnsi" w:cstheme="minorHAnsi"/>
        </w:rPr>
        <w:t xml:space="preserve"> </w:t>
      </w:r>
      <w:proofErr w:type="spellStart"/>
      <w:r>
        <w:rPr>
          <w:rFonts w:asciiTheme="minorHAnsi" w:hAnsiTheme="minorHAnsi" w:cstheme="minorHAnsi"/>
        </w:rPr>
        <w:t>osnov</w:t>
      </w:r>
      <w:r w:rsidRPr="00450C30">
        <w:rPr>
          <w:rFonts w:asciiTheme="minorHAnsi" w:hAnsiTheme="minorHAnsi" w:cstheme="minorHAnsi"/>
        </w:rPr>
        <w:t>u</w:t>
      </w:r>
      <w:proofErr w:type="spellEnd"/>
      <w:r w:rsidRPr="00450C30">
        <w:rPr>
          <w:rFonts w:asciiTheme="minorHAnsi" w:hAnsiTheme="minorHAnsi" w:cstheme="minorHAnsi"/>
        </w:rPr>
        <w:t xml:space="preserve"> </w:t>
      </w:r>
      <w:proofErr w:type="spellStart"/>
      <w:r w:rsidRPr="00450C30">
        <w:rPr>
          <w:rFonts w:asciiTheme="minorHAnsi" w:hAnsiTheme="minorHAnsi" w:cstheme="minorHAnsi"/>
        </w:rPr>
        <w:t>dokaza</w:t>
      </w:r>
      <w:proofErr w:type="spellEnd"/>
      <w:r w:rsidRPr="00450C30">
        <w:rPr>
          <w:rFonts w:asciiTheme="minorHAnsi" w:hAnsiTheme="minorHAnsi" w:cstheme="minorHAnsi"/>
        </w:rPr>
        <w:t xml:space="preserve">, </w:t>
      </w:r>
      <w:proofErr w:type="spellStart"/>
      <w:r w:rsidRPr="00450C30">
        <w:rPr>
          <w:rFonts w:asciiTheme="minorHAnsi" w:hAnsiTheme="minorHAnsi" w:cstheme="minorHAnsi"/>
        </w:rPr>
        <w:t>uključujući</w:t>
      </w:r>
      <w:proofErr w:type="spellEnd"/>
      <w:r w:rsidRPr="00450C30">
        <w:rPr>
          <w:rFonts w:asciiTheme="minorHAnsi" w:hAnsiTheme="minorHAnsi" w:cstheme="minorHAnsi"/>
        </w:rPr>
        <w:t xml:space="preserve"> </w:t>
      </w:r>
      <w:proofErr w:type="spellStart"/>
      <w:r w:rsidRPr="00450C30">
        <w:rPr>
          <w:rFonts w:asciiTheme="minorHAnsi" w:hAnsiTheme="minorHAnsi" w:cstheme="minorHAnsi"/>
        </w:rPr>
        <w:t>dokaze</w:t>
      </w:r>
      <w:proofErr w:type="spellEnd"/>
      <w:r w:rsidRPr="00450C30">
        <w:rPr>
          <w:rFonts w:asciiTheme="minorHAnsi" w:hAnsiTheme="minorHAnsi" w:cstheme="minorHAnsi"/>
        </w:rPr>
        <w:t xml:space="preserve"> </w:t>
      </w:r>
      <w:proofErr w:type="spellStart"/>
      <w:r w:rsidRPr="00450C30">
        <w:rPr>
          <w:rFonts w:asciiTheme="minorHAnsi" w:hAnsiTheme="minorHAnsi" w:cstheme="minorHAnsi"/>
        </w:rPr>
        <w:t>prikupljene</w:t>
      </w:r>
      <w:proofErr w:type="spellEnd"/>
      <w:r w:rsidRPr="00450C30">
        <w:rPr>
          <w:rFonts w:asciiTheme="minorHAnsi" w:hAnsiTheme="minorHAnsi" w:cstheme="minorHAnsi"/>
        </w:rPr>
        <w:t xml:space="preserve"> u </w:t>
      </w:r>
      <w:proofErr w:type="spellStart"/>
      <w:r w:rsidRPr="00450C30">
        <w:rPr>
          <w:rFonts w:asciiTheme="minorHAnsi" w:hAnsiTheme="minorHAnsi" w:cstheme="minorHAnsi"/>
        </w:rPr>
        <w:t>okviru</w:t>
      </w:r>
      <w:proofErr w:type="spellEnd"/>
      <w:r w:rsidRPr="00450C30">
        <w:rPr>
          <w:rFonts w:asciiTheme="minorHAnsi" w:hAnsiTheme="minorHAnsi" w:cstheme="minorHAnsi"/>
        </w:rPr>
        <w:t xml:space="preserve"> </w:t>
      </w:r>
      <w:proofErr w:type="spellStart"/>
      <w:r w:rsidRPr="00450C30">
        <w:rPr>
          <w:rFonts w:asciiTheme="minorHAnsi" w:hAnsiTheme="minorHAnsi" w:cstheme="minorHAnsi"/>
        </w:rPr>
        <w:t>javn</w:t>
      </w:r>
      <w:r>
        <w:rPr>
          <w:rFonts w:asciiTheme="minorHAnsi" w:hAnsiTheme="minorHAnsi" w:cstheme="minorHAnsi"/>
        </w:rPr>
        <w:t>e</w:t>
      </w:r>
      <w:proofErr w:type="spellEnd"/>
      <w:r>
        <w:rPr>
          <w:rFonts w:asciiTheme="minorHAnsi" w:hAnsiTheme="minorHAnsi" w:cstheme="minorHAnsi"/>
        </w:rPr>
        <w:t xml:space="preserve"> </w:t>
      </w:r>
      <w:proofErr w:type="spellStart"/>
      <w:r>
        <w:rPr>
          <w:rFonts w:asciiTheme="minorHAnsi" w:hAnsiTheme="minorHAnsi" w:cstheme="minorHAnsi"/>
        </w:rPr>
        <w:t>rasprave</w:t>
      </w:r>
      <w:proofErr w:type="spellEnd"/>
      <w:r w:rsidRPr="00450C30">
        <w:rPr>
          <w:rFonts w:asciiTheme="minorHAnsi" w:hAnsiTheme="minorHAnsi" w:cstheme="minorHAnsi"/>
        </w:rPr>
        <w:t xml:space="preserve">, da bi se </w:t>
      </w:r>
      <w:proofErr w:type="spellStart"/>
      <w:r w:rsidRPr="00450C30">
        <w:rPr>
          <w:rFonts w:asciiTheme="minorHAnsi" w:hAnsiTheme="minorHAnsi" w:cstheme="minorHAnsi"/>
        </w:rPr>
        <w:t>takvom</w:t>
      </w:r>
      <w:proofErr w:type="spellEnd"/>
      <w:r w:rsidRPr="00450C30">
        <w:rPr>
          <w:rFonts w:asciiTheme="minorHAnsi" w:hAnsiTheme="minorHAnsi" w:cstheme="minorHAnsi"/>
        </w:rPr>
        <w:t xml:space="preserve"> </w:t>
      </w:r>
      <w:proofErr w:type="spellStart"/>
      <w:r w:rsidRPr="00450C30">
        <w:rPr>
          <w:rFonts w:asciiTheme="minorHAnsi" w:hAnsiTheme="minorHAnsi" w:cstheme="minorHAnsi"/>
        </w:rPr>
        <w:t>raspodjelom</w:t>
      </w:r>
      <w:proofErr w:type="spellEnd"/>
      <w:r w:rsidRPr="00450C30">
        <w:rPr>
          <w:rFonts w:asciiTheme="minorHAnsi" w:hAnsiTheme="minorHAnsi" w:cstheme="minorHAnsi"/>
        </w:rPr>
        <w:t xml:space="preserve"> </w:t>
      </w:r>
      <w:proofErr w:type="spellStart"/>
      <w:r w:rsidRPr="00450C30">
        <w:rPr>
          <w:rFonts w:asciiTheme="minorHAnsi" w:hAnsiTheme="minorHAnsi" w:cstheme="minorHAnsi"/>
        </w:rPr>
        <w:t>troškova</w:t>
      </w:r>
      <w:proofErr w:type="spellEnd"/>
      <w:r w:rsidRPr="00450C30">
        <w:rPr>
          <w:rFonts w:asciiTheme="minorHAnsi" w:hAnsiTheme="minorHAnsi" w:cstheme="minorHAnsi"/>
        </w:rPr>
        <w:t xml:space="preserve"> </w:t>
      </w:r>
      <w:proofErr w:type="spellStart"/>
      <w:r>
        <w:rPr>
          <w:rFonts w:asciiTheme="minorHAnsi" w:hAnsiTheme="minorHAnsi" w:cstheme="minorHAnsi"/>
        </w:rPr>
        <w:t>narušila</w:t>
      </w:r>
      <w:proofErr w:type="spellEnd"/>
      <w:r>
        <w:rPr>
          <w:rFonts w:asciiTheme="minorHAnsi" w:hAnsiTheme="minorHAnsi" w:cstheme="minorHAnsi"/>
        </w:rPr>
        <w:t xml:space="preserve"> </w:t>
      </w:r>
      <w:proofErr w:type="spellStart"/>
      <w:r>
        <w:rPr>
          <w:rFonts w:asciiTheme="minorHAnsi" w:hAnsiTheme="minorHAnsi" w:cstheme="minorHAnsi"/>
        </w:rPr>
        <w:t>efikasnost</w:t>
      </w:r>
      <w:proofErr w:type="spellEnd"/>
      <w:r>
        <w:rPr>
          <w:rFonts w:asciiTheme="minorHAnsi" w:hAnsiTheme="minorHAnsi" w:cstheme="minorHAnsi"/>
        </w:rPr>
        <w:t xml:space="preserve"> </w:t>
      </w:r>
      <w:proofErr w:type="spellStart"/>
      <w:r>
        <w:rPr>
          <w:rFonts w:asciiTheme="minorHAnsi" w:hAnsiTheme="minorHAnsi" w:cstheme="minorHAnsi"/>
        </w:rPr>
        <w:t>troškova</w:t>
      </w:r>
      <w:proofErr w:type="spellEnd"/>
      <w:r w:rsidRPr="00450C30">
        <w:rPr>
          <w:rFonts w:asciiTheme="minorHAnsi" w:hAnsiTheme="minorHAnsi" w:cstheme="minorHAnsi"/>
        </w:rPr>
        <w:t xml:space="preserve"> </w:t>
      </w:r>
      <w:proofErr w:type="spellStart"/>
      <w:r w:rsidRPr="00450C30">
        <w:rPr>
          <w:rFonts w:asciiTheme="minorHAnsi" w:hAnsiTheme="minorHAnsi" w:cstheme="minorHAnsi"/>
        </w:rPr>
        <w:t>mjere</w:t>
      </w:r>
      <w:proofErr w:type="spellEnd"/>
      <w:r w:rsidRPr="00450C30">
        <w:rPr>
          <w:rFonts w:asciiTheme="minorHAnsi" w:hAnsiTheme="minorHAnsi" w:cstheme="minorHAnsi"/>
        </w:rPr>
        <w:t xml:space="preserve"> </w:t>
      </w:r>
      <w:proofErr w:type="spellStart"/>
      <w:r w:rsidRPr="00450C30">
        <w:rPr>
          <w:rFonts w:asciiTheme="minorHAnsi" w:hAnsiTheme="minorHAnsi" w:cstheme="minorHAnsi"/>
        </w:rPr>
        <w:t>ili</w:t>
      </w:r>
      <w:proofErr w:type="spellEnd"/>
      <w:r w:rsidRPr="00450C30">
        <w:rPr>
          <w:rFonts w:asciiTheme="minorHAnsi" w:hAnsiTheme="minorHAnsi" w:cstheme="minorHAnsi"/>
        </w:rPr>
        <w:t xml:space="preserve"> bi </w:t>
      </w:r>
      <w:proofErr w:type="spellStart"/>
      <w:r w:rsidRPr="00450C30">
        <w:rPr>
          <w:rFonts w:asciiTheme="minorHAnsi" w:hAnsiTheme="minorHAnsi" w:cstheme="minorHAnsi"/>
        </w:rPr>
        <w:t>dovela</w:t>
      </w:r>
      <w:proofErr w:type="spellEnd"/>
      <w:r w:rsidRPr="00450C30">
        <w:rPr>
          <w:rFonts w:asciiTheme="minorHAnsi" w:hAnsiTheme="minorHAnsi" w:cstheme="minorHAnsi"/>
        </w:rPr>
        <w:t xml:space="preserve"> do </w:t>
      </w:r>
      <w:proofErr w:type="spellStart"/>
      <w:r w:rsidRPr="00450C30">
        <w:rPr>
          <w:rFonts w:asciiTheme="minorHAnsi" w:hAnsiTheme="minorHAnsi" w:cstheme="minorHAnsi"/>
        </w:rPr>
        <w:t>znatnog</w:t>
      </w:r>
      <w:proofErr w:type="spellEnd"/>
      <w:r w:rsidRPr="00450C30">
        <w:rPr>
          <w:rFonts w:asciiTheme="minorHAnsi" w:hAnsiTheme="minorHAnsi" w:cstheme="minorHAnsi"/>
        </w:rPr>
        <w:t xml:space="preserve"> </w:t>
      </w:r>
      <w:proofErr w:type="spellStart"/>
      <w:r w:rsidRPr="00450C30">
        <w:rPr>
          <w:rFonts w:asciiTheme="minorHAnsi" w:hAnsiTheme="minorHAnsi" w:cstheme="minorHAnsi"/>
        </w:rPr>
        <w:t>narušavanja</w:t>
      </w:r>
      <w:proofErr w:type="spellEnd"/>
      <w:r w:rsidRPr="00450C30">
        <w:rPr>
          <w:rFonts w:asciiTheme="minorHAnsi" w:hAnsiTheme="minorHAnsi" w:cstheme="minorHAnsi"/>
        </w:rPr>
        <w:t xml:space="preserve"> </w:t>
      </w:r>
      <w:proofErr w:type="spellStart"/>
      <w:r>
        <w:rPr>
          <w:rFonts w:asciiTheme="minorHAnsi" w:hAnsiTheme="minorHAnsi" w:cstheme="minorHAnsi"/>
        </w:rPr>
        <w:t>konkurencije</w:t>
      </w:r>
      <w:proofErr w:type="spellEnd"/>
      <w:r w:rsidRPr="00450C30">
        <w:rPr>
          <w:rFonts w:asciiTheme="minorHAnsi" w:hAnsiTheme="minorHAnsi" w:cstheme="minorHAnsi"/>
        </w:rPr>
        <w:t xml:space="preserve"> </w:t>
      </w:r>
      <w:proofErr w:type="spellStart"/>
      <w:r w:rsidRPr="00450C30">
        <w:rPr>
          <w:rFonts w:asciiTheme="minorHAnsi" w:hAnsiTheme="minorHAnsi" w:cstheme="minorHAnsi"/>
        </w:rPr>
        <w:t>koje</w:t>
      </w:r>
      <w:proofErr w:type="spellEnd"/>
      <w:r w:rsidRPr="00450C30">
        <w:rPr>
          <w:rFonts w:asciiTheme="minorHAnsi" w:hAnsiTheme="minorHAnsi" w:cstheme="minorHAnsi"/>
        </w:rPr>
        <w:t xml:space="preserve"> bi </w:t>
      </w:r>
      <w:proofErr w:type="spellStart"/>
      <w:r w:rsidRPr="00450C30">
        <w:rPr>
          <w:rFonts w:asciiTheme="minorHAnsi" w:hAnsiTheme="minorHAnsi" w:cstheme="minorHAnsi"/>
        </w:rPr>
        <w:t>jasno</w:t>
      </w:r>
      <w:proofErr w:type="spellEnd"/>
      <w:r w:rsidRPr="00450C30">
        <w:rPr>
          <w:rFonts w:asciiTheme="minorHAnsi" w:hAnsiTheme="minorHAnsi" w:cstheme="minorHAnsi"/>
        </w:rPr>
        <w:t xml:space="preserve"> </w:t>
      </w:r>
      <w:proofErr w:type="spellStart"/>
      <w:r w:rsidRPr="00450C30">
        <w:rPr>
          <w:rFonts w:asciiTheme="minorHAnsi" w:hAnsiTheme="minorHAnsi" w:cstheme="minorHAnsi"/>
        </w:rPr>
        <w:t>dovelo</w:t>
      </w:r>
      <w:proofErr w:type="spellEnd"/>
      <w:r w:rsidRPr="00450C30">
        <w:rPr>
          <w:rFonts w:asciiTheme="minorHAnsi" w:hAnsiTheme="minorHAnsi" w:cstheme="minorHAnsi"/>
        </w:rPr>
        <w:t xml:space="preserve"> u </w:t>
      </w:r>
      <w:proofErr w:type="spellStart"/>
      <w:r w:rsidRPr="00450C30">
        <w:rPr>
          <w:rFonts w:asciiTheme="minorHAnsi" w:hAnsiTheme="minorHAnsi" w:cstheme="minorHAnsi"/>
        </w:rPr>
        <w:t>pitanje</w:t>
      </w:r>
      <w:proofErr w:type="spellEnd"/>
      <w:r w:rsidRPr="00450C30">
        <w:rPr>
          <w:rFonts w:asciiTheme="minorHAnsi" w:hAnsiTheme="minorHAnsi" w:cstheme="minorHAnsi"/>
        </w:rPr>
        <w:t xml:space="preserve"> </w:t>
      </w:r>
      <w:proofErr w:type="spellStart"/>
      <w:r w:rsidRPr="00450C30">
        <w:rPr>
          <w:rFonts w:asciiTheme="minorHAnsi" w:hAnsiTheme="minorHAnsi" w:cstheme="minorHAnsi"/>
        </w:rPr>
        <w:t>moguće</w:t>
      </w:r>
      <w:proofErr w:type="spellEnd"/>
      <w:r w:rsidRPr="00450C30">
        <w:rPr>
          <w:rFonts w:asciiTheme="minorHAnsi" w:hAnsiTheme="minorHAnsi" w:cstheme="minorHAnsi"/>
        </w:rPr>
        <w:t xml:space="preserve"> </w:t>
      </w:r>
      <w:proofErr w:type="spellStart"/>
      <w:r>
        <w:rPr>
          <w:rFonts w:asciiTheme="minorHAnsi" w:hAnsiTheme="minorHAnsi" w:cstheme="minorHAnsi"/>
        </w:rPr>
        <w:t>koristi</w:t>
      </w:r>
      <w:proofErr w:type="spellEnd"/>
      <w:r w:rsidRPr="00450C30">
        <w:rPr>
          <w:rFonts w:asciiTheme="minorHAnsi" w:hAnsiTheme="minorHAnsi" w:cstheme="minorHAnsi"/>
        </w:rPr>
        <w:t xml:space="preserve"> </w:t>
      </w:r>
      <w:proofErr w:type="spellStart"/>
      <w:r w:rsidRPr="00450C30">
        <w:rPr>
          <w:rFonts w:asciiTheme="minorHAnsi" w:hAnsiTheme="minorHAnsi" w:cstheme="minorHAnsi"/>
        </w:rPr>
        <w:t>takve</w:t>
      </w:r>
      <w:proofErr w:type="spellEnd"/>
      <w:r w:rsidRPr="00450C30">
        <w:rPr>
          <w:rFonts w:asciiTheme="minorHAnsi" w:hAnsiTheme="minorHAnsi" w:cstheme="minorHAnsi"/>
        </w:rPr>
        <w:t xml:space="preserve"> </w:t>
      </w:r>
      <w:proofErr w:type="spellStart"/>
      <w:r w:rsidRPr="00450C30">
        <w:rPr>
          <w:rFonts w:asciiTheme="minorHAnsi" w:hAnsiTheme="minorHAnsi" w:cstheme="minorHAnsi"/>
        </w:rPr>
        <w:t>raspodjele</w:t>
      </w:r>
      <w:proofErr w:type="spellEnd"/>
      <w:r w:rsidRPr="00450C30">
        <w:rPr>
          <w:rFonts w:asciiTheme="minorHAnsi" w:hAnsiTheme="minorHAnsi" w:cstheme="minorHAnsi"/>
        </w:rPr>
        <w:t xml:space="preserve"> </w:t>
      </w:r>
      <w:proofErr w:type="spellStart"/>
      <w:r w:rsidRPr="00450C30">
        <w:rPr>
          <w:rFonts w:asciiTheme="minorHAnsi" w:hAnsiTheme="minorHAnsi" w:cstheme="minorHAnsi"/>
        </w:rPr>
        <w:t>troškova</w:t>
      </w:r>
      <w:proofErr w:type="spellEnd"/>
      <w:r w:rsidRPr="00450C30">
        <w:rPr>
          <w:rFonts w:asciiTheme="minorHAnsi" w:hAnsiTheme="minorHAnsi" w:cstheme="minorHAnsi"/>
        </w:rPr>
        <w:t>”.</w:t>
      </w:r>
    </w:p>
  </w:footnote>
  <w:footnote w:id="8">
    <w:p w14:paraId="73CEA069" w14:textId="77777777" w:rsidR="00211F70" w:rsidRPr="00DD22C7" w:rsidRDefault="00211F70" w:rsidP="00211F70">
      <w:pPr>
        <w:pStyle w:val="FootnoteText"/>
        <w:spacing w:before="0" w:after="0"/>
        <w:ind w:left="0" w:firstLine="0"/>
        <w:contextualSpacing/>
        <w:rPr>
          <w:rFonts w:asciiTheme="minorHAnsi" w:hAnsiTheme="minorHAnsi" w:cstheme="minorHAnsi"/>
          <w:lang w:val="sr-Latn-RS"/>
        </w:rPr>
      </w:pPr>
      <w:r w:rsidRPr="00DD22C7">
        <w:rPr>
          <w:rStyle w:val="FootnoteReference"/>
          <w:rFonts w:asciiTheme="minorHAnsi" w:hAnsiTheme="minorHAnsi" w:cstheme="minorHAnsi"/>
        </w:rPr>
        <w:footnoteRef/>
      </w:r>
      <w:r w:rsidRPr="00DD22C7">
        <w:rPr>
          <w:rFonts w:asciiTheme="minorHAnsi" w:hAnsiTheme="minorHAnsi" w:cstheme="minorHAnsi"/>
        </w:rPr>
        <w:t xml:space="preserve"> </w:t>
      </w:r>
      <w:proofErr w:type="spellStart"/>
      <w:r w:rsidRPr="00DD22C7">
        <w:rPr>
          <w:rFonts w:asciiTheme="minorHAnsi" w:hAnsiTheme="minorHAnsi" w:cstheme="minorHAnsi"/>
        </w:rPr>
        <w:t>Regulativa</w:t>
      </w:r>
      <w:proofErr w:type="spellEnd"/>
      <w:r w:rsidRPr="00DD22C7">
        <w:rPr>
          <w:rFonts w:asciiTheme="minorHAnsi" w:hAnsiTheme="minorHAnsi" w:cstheme="minorHAnsi"/>
        </w:rPr>
        <w:t xml:space="preserve"> (EU) 2020/852 </w:t>
      </w:r>
      <w:proofErr w:type="spellStart"/>
      <w:r w:rsidRPr="00DD22C7">
        <w:rPr>
          <w:rFonts w:asciiTheme="minorHAnsi" w:hAnsiTheme="minorHAnsi" w:cstheme="minorHAnsi"/>
        </w:rPr>
        <w:t>Evropskog</w:t>
      </w:r>
      <w:proofErr w:type="spellEnd"/>
      <w:r w:rsidRPr="00DD22C7">
        <w:rPr>
          <w:rFonts w:asciiTheme="minorHAnsi" w:hAnsiTheme="minorHAnsi" w:cstheme="minorHAnsi"/>
        </w:rPr>
        <w:t xml:space="preserve"> </w:t>
      </w:r>
      <w:proofErr w:type="spellStart"/>
      <w:r w:rsidRPr="00DD22C7">
        <w:rPr>
          <w:rFonts w:asciiTheme="minorHAnsi" w:hAnsiTheme="minorHAnsi" w:cstheme="minorHAnsi"/>
        </w:rPr>
        <w:t>parlamenta</w:t>
      </w:r>
      <w:proofErr w:type="spellEnd"/>
      <w:r w:rsidRPr="00DD22C7">
        <w:rPr>
          <w:rFonts w:asciiTheme="minorHAnsi" w:hAnsiTheme="minorHAnsi" w:cstheme="minorHAnsi"/>
        </w:rPr>
        <w:t xml:space="preserve"> i </w:t>
      </w:r>
      <w:proofErr w:type="spellStart"/>
      <w:r w:rsidRPr="00DD22C7">
        <w:rPr>
          <w:rFonts w:asciiTheme="minorHAnsi" w:hAnsiTheme="minorHAnsi" w:cstheme="minorHAnsi"/>
        </w:rPr>
        <w:t>Savjeta</w:t>
      </w:r>
      <w:proofErr w:type="spellEnd"/>
      <w:r w:rsidRPr="00DD22C7">
        <w:rPr>
          <w:rFonts w:asciiTheme="minorHAnsi" w:hAnsiTheme="minorHAnsi" w:cstheme="minorHAnsi"/>
        </w:rPr>
        <w:t xml:space="preserve"> od 18. </w:t>
      </w:r>
      <w:proofErr w:type="spellStart"/>
      <w:r w:rsidRPr="00DD22C7">
        <w:rPr>
          <w:rFonts w:asciiTheme="minorHAnsi" w:hAnsiTheme="minorHAnsi" w:cstheme="minorHAnsi"/>
        </w:rPr>
        <w:t>juna</w:t>
      </w:r>
      <w:proofErr w:type="spellEnd"/>
      <w:r w:rsidRPr="00DD22C7">
        <w:rPr>
          <w:rFonts w:asciiTheme="minorHAnsi" w:hAnsiTheme="minorHAnsi" w:cstheme="minorHAnsi"/>
        </w:rPr>
        <w:t xml:space="preserve"> 2020. </w:t>
      </w:r>
      <w:proofErr w:type="spellStart"/>
      <w:r w:rsidRPr="00DD22C7">
        <w:rPr>
          <w:rFonts w:asciiTheme="minorHAnsi" w:hAnsiTheme="minorHAnsi" w:cstheme="minorHAnsi"/>
        </w:rPr>
        <w:t>godine</w:t>
      </w:r>
      <w:proofErr w:type="spellEnd"/>
      <w:r w:rsidRPr="00DD22C7">
        <w:rPr>
          <w:rFonts w:asciiTheme="minorHAnsi" w:hAnsiTheme="minorHAnsi" w:cstheme="minorHAnsi"/>
        </w:rPr>
        <w:t xml:space="preserve"> o </w:t>
      </w:r>
      <w:proofErr w:type="spellStart"/>
      <w:r w:rsidRPr="00DD22C7">
        <w:rPr>
          <w:rFonts w:asciiTheme="minorHAnsi" w:hAnsiTheme="minorHAnsi" w:cstheme="minorHAnsi"/>
        </w:rPr>
        <w:t>uspostavljanju</w:t>
      </w:r>
      <w:proofErr w:type="spellEnd"/>
      <w:r w:rsidRPr="00DD22C7">
        <w:rPr>
          <w:rFonts w:asciiTheme="minorHAnsi" w:hAnsiTheme="minorHAnsi" w:cstheme="minorHAnsi"/>
        </w:rPr>
        <w:t xml:space="preserve"> </w:t>
      </w:r>
      <w:proofErr w:type="spellStart"/>
      <w:r w:rsidRPr="00DD22C7">
        <w:rPr>
          <w:rFonts w:asciiTheme="minorHAnsi" w:hAnsiTheme="minorHAnsi" w:cstheme="minorHAnsi"/>
        </w:rPr>
        <w:t>okvira</w:t>
      </w:r>
      <w:proofErr w:type="spellEnd"/>
      <w:r w:rsidRPr="00DD22C7">
        <w:rPr>
          <w:rFonts w:asciiTheme="minorHAnsi" w:hAnsiTheme="minorHAnsi" w:cstheme="minorHAnsi"/>
        </w:rPr>
        <w:t xml:space="preserve"> za </w:t>
      </w:r>
      <w:proofErr w:type="spellStart"/>
      <w:r w:rsidRPr="00DD22C7">
        <w:rPr>
          <w:rFonts w:asciiTheme="minorHAnsi" w:hAnsiTheme="minorHAnsi" w:cstheme="minorHAnsi"/>
        </w:rPr>
        <w:t>olakšavanje</w:t>
      </w:r>
      <w:proofErr w:type="spellEnd"/>
      <w:r w:rsidRPr="00DD22C7">
        <w:rPr>
          <w:rFonts w:asciiTheme="minorHAnsi" w:hAnsiTheme="minorHAnsi" w:cstheme="minorHAnsi"/>
        </w:rPr>
        <w:t xml:space="preserve"> </w:t>
      </w:r>
      <w:proofErr w:type="spellStart"/>
      <w:r w:rsidRPr="00DD22C7">
        <w:rPr>
          <w:rFonts w:asciiTheme="minorHAnsi" w:hAnsiTheme="minorHAnsi" w:cstheme="minorHAnsi"/>
        </w:rPr>
        <w:t>održivih</w:t>
      </w:r>
      <w:proofErr w:type="spellEnd"/>
      <w:r w:rsidRPr="00DD22C7">
        <w:rPr>
          <w:rFonts w:asciiTheme="minorHAnsi" w:hAnsiTheme="minorHAnsi" w:cstheme="minorHAnsi"/>
        </w:rPr>
        <w:t xml:space="preserve"> </w:t>
      </w:r>
      <w:proofErr w:type="spellStart"/>
      <w:r w:rsidRPr="00DD22C7">
        <w:rPr>
          <w:rFonts w:asciiTheme="minorHAnsi" w:hAnsiTheme="minorHAnsi" w:cstheme="minorHAnsi"/>
        </w:rPr>
        <w:t>ulaganja</w:t>
      </w:r>
      <w:proofErr w:type="spellEnd"/>
      <w:r w:rsidRPr="00DD22C7">
        <w:rPr>
          <w:rFonts w:asciiTheme="minorHAnsi" w:hAnsiTheme="minorHAnsi" w:cstheme="minorHAnsi"/>
        </w:rPr>
        <w:t xml:space="preserve"> i </w:t>
      </w:r>
      <w:proofErr w:type="spellStart"/>
      <w:r w:rsidRPr="00DD22C7">
        <w:rPr>
          <w:rFonts w:asciiTheme="minorHAnsi" w:hAnsiTheme="minorHAnsi" w:cstheme="minorHAnsi"/>
        </w:rPr>
        <w:t>izmjeni</w:t>
      </w:r>
      <w:proofErr w:type="spellEnd"/>
      <w:r w:rsidRPr="00DD22C7">
        <w:rPr>
          <w:rFonts w:asciiTheme="minorHAnsi" w:hAnsiTheme="minorHAnsi" w:cstheme="minorHAnsi"/>
        </w:rPr>
        <w:t xml:space="preserve"> Regulative (EU) 2019/2088 (SL L 198, 22.6.2020., str. 13.).</w:t>
      </w:r>
    </w:p>
  </w:footnote>
  <w:footnote w:id="9">
    <w:p w14:paraId="58ECE4BD" w14:textId="77777777" w:rsidR="00211F70" w:rsidRPr="00DD22C7" w:rsidRDefault="00211F70" w:rsidP="00211F70">
      <w:pPr>
        <w:pStyle w:val="FootnoteText"/>
        <w:spacing w:before="0" w:after="0"/>
        <w:ind w:left="0" w:firstLine="0"/>
        <w:contextualSpacing/>
        <w:rPr>
          <w:rFonts w:asciiTheme="minorHAnsi" w:hAnsiTheme="minorHAnsi" w:cstheme="minorHAnsi"/>
          <w:lang w:val="sr-Latn-RS"/>
        </w:rPr>
      </w:pPr>
      <w:r w:rsidRPr="00DD22C7">
        <w:rPr>
          <w:rStyle w:val="FootnoteReference"/>
          <w:rFonts w:asciiTheme="minorHAnsi" w:hAnsiTheme="minorHAnsi" w:cstheme="minorHAnsi"/>
        </w:rPr>
        <w:footnoteRef/>
      </w:r>
      <w:r w:rsidRPr="00DD22C7">
        <w:rPr>
          <w:rFonts w:asciiTheme="minorHAnsi" w:hAnsiTheme="minorHAnsi" w:cstheme="minorHAnsi"/>
        </w:rPr>
        <w:t xml:space="preserve"> </w:t>
      </w:r>
      <w:proofErr w:type="spellStart"/>
      <w:r w:rsidRPr="00DD22C7">
        <w:rPr>
          <w:rFonts w:asciiTheme="minorHAnsi" w:hAnsiTheme="minorHAnsi" w:cstheme="minorHAnsi"/>
        </w:rPr>
        <w:t>Napominjemo</w:t>
      </w:r>
      <w:proofErr w:type="spellEnd"/>
      <w:r w:rsidRPr="00DD22C7">
        <w:rPr>
          <w:rFonts w:asciiTheme="minorHAnsi" w:hAnsiTheme="minorHAnsi" w:cstheme="minorHAnsi"/>
        </w:rPr>
        <w:t xml:space="preserve"> da se u </w:t>
      </w:r>
      <w:proofErr w:type="spellStart"/>
      <w:r w:rsidRPr="00DD22C7">
        <w:rPr>
          <w:rFonts w:asciiTheme="minorHAnsi" w:hAnsiTheme="minorHAnsi" w:cstheme="minorHAnsi"/>
        </w:rPr>
        <w:t>skladu</w:t>
      </w:r>
      <w:proofErr w:type="spellEnd"/>
      <w:r w:rsidRPr="00DD22C7">
        <w:rPr>
          <w:rFonts w:asciiTheme="minorHAnsi" w:hAnsiTheme="minorHAnsi" w:cstheme="minorHAnsi"/>
        </w:rPr>
        <w:t xml:space="preserve"> </w:t>
      </w:r>
      <w:proofErr w:type="spellStart"/>
      <w:r w:rsidRPr="00DD22C7">
        <w:rPr>
          <w:rFonts w:asciiTheme="minorHAnsi" w:hAnsiTheme="minorHAnsi" w:cstheme="minorHAnsi"/>
        </w:rPr>
        <w:t>sa</w:t>
      </w:r>
      <w:proofErr w:type="spellEnd"/>
      <w:r w:rsidRPr="00DD22C7">
        <w:rPr>
          <w:rFonts w:asciiTheme="minorHAnsi" w:hAnsiTheme="minorHAnsi" w:cstheme="minorHAnsi"/>
        </w:rPr>
        <w:t xml:space="preserve"> </w:t>
      </w:r>
      <w:proofErr w:type="spellStart"/>
      <w:r w:rsidRPr="00DD22C7">
        <w:rPr>
          <w:rFonts w:asciiTheme="minorHAnsi" w:hAnsiTheme="minorHAnsi" w:cstheme="minorHAnsi"/>
        </w:rPr>
        <w:t>fusnotom</w:t>
      </w:r>
      <w:proofErr w:type="spellEnd"/>
      <w:r w:rsidRPr="00DD22C7">
        <w:rPr>
          <w:rFonts w:asciiTheme="minorHAnsi" w:hAnsiTheme="minorHAnsi" w:cstheme="minorHAnsi"/>
        </w:rPr>
        <w:t xml:space="preserve"> 50 CEEAG-a: „Za </w:t>
      </w:r>
      <w:proofErr w:type="spellStart"/>
      <w:r w:rsidRPr="00DD22C7">
        <w:rPr>
          <w:rFonts w:asciiTheme="minorHAnsi" w:hAnsiTheme="minorHAnsi" w:cstheme="minorHAnsi"/>
        </w:rPr>
        <w:t>mjere</w:t>
      </w:r>
      <w:proofErr w:type="spellEnd"/>
      <w:r w:rsidRPr="00DD22C7">
        <w:rPr>
          <w:rFonts w:asciiTheme="minorHAnsi" w:hAnsiTheme="minorHAnsi" w:cstheme="minorHAnsi"/>
        </w:rPr>
        <w:t xml:space="preserve"> </w:t>
      </w:r>
      <w:proofErr w:type="spellStart"/>
      <w:r w:rsidRPr="00DD22C7">
        <w:rPr>
          <w:rFonts w:asciiTheme="minorHAnsi" w:hAnsiTheme="minorHAnsi" w:cstheme="minorHAnsi"/>
        </w:rPr>
        <w:t>koje</w:t>
      </w:r>
      <w:proofErr w:type="spellEnd"/>
      <w:r w:rsidRPr="00DD22C7">
        <w:rPr>
          <w:rFonts w:asciiTheme="minorHAnsi" w:hAnsiTheme="minorHAnsi" w:cstheme="minorHAnsi"/>
        </w:rPr>
        <w:t xml:space="preserve"> </w:t>
      </w:r>
      <w:proofErr w:type="spellStart"/>
      <w:r w:rsidRPr="00DD22C7">
        <w:rPr>
          <w:rFonts w:asciiTheme="minorHAnsi" w:hAnsiTheme="minorHAnsi" w:cstheme="minorHAnsi"/>
        </w:rPr>
        <w:t>su</w:t>
      </w:r>
      <w:proofErr w:type="spellEnd"/>
      <w:r w:rsidRPr="00DD22C7">
        <w:rPr>
          <w:rFonts w:asciiTheme="minorHAnsi" w:hAnsiTheme="minorHAnsi" w:cstheme="minorHAnsi"/>
        </w:rPr>
        <w:t xml:space="preserve"> </w:t>
      </w:r>
      <w:proofErr w:type="spellStart"/>
      <w:r w:rsidRPr="00DD22C7">
        <w:rPr>
          <w:rFonts w:asciiTheme="minorHAnsi" w:hAnsiTheme="minorHAnsi" w:cstheme="minorHAnsi"/>
        </w:rPr>
        <w:t>identične</w:t>
      </w:r>
      <w:proofErr w:type="spellEnd"/>
      <w:r w:rsidRPr="00DD22C7">
        <w:rPr>
          <w:rFonts w:asciiTheme="minorHAnsi" w:hAnsiTheme="minorHAnsi" w:cstheme="minorHAnsi"/>
        </w:rPr>
        <w:t xml:space="preserve"> </w:t>
      </w:r>
      <w:proofErr w:type="spellStart"/>
      <w:r w:rsidRPr="00DD22C7">
        <w:rPr>
          <w:rFonts w:asciiTheme="minorHAnsi" w:hAnsiTheme="minorHAnsi" w:cstheme="minorHAnsi"/>
        </w:rPr>
        <w:t>mjerama</w:t>
      </w:r>
      <w:proofErr w:type="spellEnd"/>
      <w:r w:rsidRPr="00DD22C7">
        <w:rPr>
          <w:rFonts w:asciiTheme="minorHAnsi" w:hAnsiTheme="minorHAnsi" w:cstheme="minorHAnsi"/>
        </w:rPr>
        <w:t xml:space="preserve"> u </w:t>
      </w:r>
      <w:proofErr w:type="spellStart"/>
      <w:r w:rsidRPr="00DD22C7">
        <w:rPr>
          <w:rFonts w:asciiTheme="minorHAnsi" w:hAnsiTheme="minorHAnsi" w:cstheme="minorHAnsi"/>
        </w:rPr>
        <w:t>okviru</w:t>
      </w:r>
      <w:proofErr w:type="spellEnd"/>
      <w:r w:rsidRPr="00DD22C7">
        <w:rPr>
          <w:rFonts w:asciiTheme="minorHAnsi" w:hAnsiTheme="minorHAnsi" w:cstheme="minorHAnsi"/>
        </w:rPr>
        <w:t xml:space="preserve"> </w:t>
      </w:r>
      <w:proofErr w:type="spellStart"/>
      <w:r w:rsidRPr="00DD22C7">
        <w:rPr>
          <w:rFonts w:asciiTheme="minorHAnsi" w:hAnsiTheme="minorHAnsi" w:cstheme="minorHAnsi"/>
        </w:rPr>
        <w:t>planova</w:t>
      </w:r>
      <w:proofErr w:type="spellEnd"/>
      <w:r w:rsidRPr="00DD22C7">
        <w:rPr>
          <w:rFonts w:asciiTheme="minorHAnsi" w:hAnsiTheme="minorHAnsi" w:cstheme="minorHAnsi"/>
        </w:rPr>
        <w:t xml:space="preserve"> za </w:t>
      </w:r>
      <w:proofErr w:type="spellStart"/>
      <w:r w:rsidRPr="00DD22C7">
        <w:rPr>
          <w:rFonts w:asciiTheme="minorHAnsi" w:hAnsiTheme="minorHAnsi" w:cstheme="minorHAnsi"/>
        </w:rPr>
        <w:t>oporavak</w:t>
      </w:r>
      <w:proofErr w:type="spellEnd"/>
      <w:r w:rsidRPr="00DD22C7">
        <w:rPr>
          <w:rFonts w:asciiTheme="minorHAnsi" w:hAnsiTheme="minorHAnsi" w:cstheme="minorHAnsi"/>
        </w:rPr>
        <w:t xml:space="preserve"> i </w:t>
      </w:r>
      <w:proofErr w:type="spellStart"/>
      <w:r w:rsidRPr="00DD22C7">
        <w:rPr>
          <w:rFonts w:asciiTheme="minorHAnsi" w:hAnsiTheme="minorHAnsi" w:cstheme="minorHAnsi"/>
        </w:rPr>
        <w:t>otpornost</w:t>
      </w:r>
      <w:proofErr w:type="spellEnd"/>
      <w:r w:rsidRPr="00DD22C7">
        <w:rPr>
          <w:rFonts w:asciiTheme="minorHAnsi" w:hAnsiTheme="minorHAnsi" w:cstheme="minorHAnsi"/>
        </w:rPr>
        <w:t xml:space="preserve"> </w:t>
      </w:r>
      <w:proofErr w:type="spellStart"/>
      <w:r w:rsidRPr="00DD22C7">
        <w:rPr>
          <w:rFonts w:asciiTheme="minorHAnsi" w:hAnsiTheme="minorHAnsi" w:cstheme="minorHAnsi"/>
        </w:rPr>
        <w:t>koje</w:t>
      </w:r>
      <w:proofErr w:type="spellEnd"/>
      <w:r w:rsidRPr="00DD22C7">
        <w:rPr>
          <w:rFonts w:asciiTheme="minorHAnsi" w:hAnsiTheme="minorHAnsi" w:cstheme="minorHAnsi"/>
        </w:rPr>
        <w:t xml:space="preserve"> je </w:t>
      </w:r>
      <w:proofErr w:type="spellStart"/>
      <w:r w:rsidRPr="00DD22C7">
        <w:rPr>
          <w:rFonts w:asciiTheme="minorHAnsi" w:hAnsiTheme="minorHAnsi" w:cstheme="minorHAnsi"/>
        </w:rPr>
        <w:t>odobrio</w:t>
      </w:r>
      <w:proofErr w:type="spellEnd"/>
      <w:r w:rsidRPr="00DD22C7">
        <w:rPr>
          <w:rFonts w:asciiTheme="minorHAnsi" w:hAnsiTheme="minorHAnsi" w:cstheme="minorHAnsi"/>
        </w:rPr>
        <w:t xml:space="preserve"> </w:t>
      </w:r>
      <w:proofErr w:type="spellStart"/>
      <w:r w:rsidRPr="00DD22C7">
        <w:rPr>
          <w:rFonts w:asciiTheme="minorHAnsi" w:hAnsiTheme="minorHAnsi" w:cstheme="minorHAnsi"/>
        </w:rPr>
        <w:t>Savjet</w:t>
      </w:r>
      <w:proofErr w:type="spellEnd"/>
      <w:r w:rsidRPr="00DD22C7">
        <w:rPr>
          <w:rFonts w:asciiTheme="minorHAnsi" w:hAnsiTheme="minorHAnsi" w:cstheme="minorHAnsi"/>
        </w:rPr>
        <w:t xml:space="preserve"> </w:t>
      </w:r>
      <w:proofErr w:type="spellStart"/>
      <w:r w:rsidRPr="00DD22C7">
        <w:rPr>
          <w:rFonts w:asciiTheme="minorHAnsi" w:hAnsiTheme="minorHAnsi" w:cstheme="minorHAnsi"/>
        </w:rPr>
        <w:t>smatra</w:t>
      </w:r>
      <w:proofErr w:type="spellEnd"/>
      <w:r w:rsidRPr="00DD22C7">
        <w:rPr>
          <w:rFonts w:asciiTheme="minorHAnsi" w:hAnsiTheme="minorHAnsi" w:cstheme="minorHAnsi"/>
        </w:rPr>
        <w:t xml:space="preserve"> se da </w:t>
      </w:r>
      <w:proofErr w:type="spellStart"/>
      <w:r w:rsidRPr="00DD22C7">
        <w:rPr>
          <w:rFonts w:asciiTheme="minorHAnsi" w:hAnsiTheme="minorHAnsi" w:cstheme="minorHAnsi"/>
        </w:rPr>
        <w:t>su</w:t>
      </w:r>
      <w:proofErr w:type="spellEnd"/>
      <w:r w:rsidRPr="00DD22C7">
        <w:rPr>
          <w:rFonts w:asciiTheme="minorHAnsi" w:hAnsiTheme="minorHAnsi" w:cstheme="minorHAnsi"/>
        </w:rPr>
        <w:t xml:space="preserve"> </w:t>
      </w:r>
      <w:proofErr w:type="spellStart"/>
      <w:r w:rsidRPr="00DD22C7">
        <w:rPr>
          <w:rFonts w:asciiTheme="minorHAnsi" w:hAnsiTheme="minorHAnsi" w:cstheme="minorHAnsi"/>
        </w:rPr>
        <w:t>usklađene</w:t>
      </w:r>
      <w:proofErr w:type="spellEnd"/>
      <w:r w:rsidRPr="00DD22C7">
        <w:rPr>
          <w:rFonts w:asciiTheme="minorHAnsi" w:hAnsiTheme="minorHAnsi" w:cstheme="minorHAnsi"/>
        </w:rPr>
        <w:t xml:space="preserve"> </w:t>
      </w:r>
      <w:proofErr w:type="spellStart"/>
      <w:r w:rsidRPr="00DD22C7">
        <w:rPr>
          <w:rFonts w:asciiTheme="minorHAnsi" w:hAnsiTheme="minorHAnsi" w:cstheme="minorHAnsi"/>
        </w:rPr>
        <w:t>sa</w:t>
      </w:r>
      <w:proofErr w:type="spellEnd"/>
      <w:r w:rsidRPr="00DD22C7">
        <w:rPr>
          <w:rFonts w:asciiTheme="minorHAnsi" w:hAnsiTheme="minorHAnsi" w:cstheme="minorHAnsi"/>
        </w:rPr>
        <w:t xml:space="preserve"> </w:t>
      </w:r>
      <w:proofErr w:type="spellStart"/>
      <w:r w:rsidRPr="00DD22C7">
        <w:rPr>
          <w:rFonts w:asciiTheme="minorHAnsi" w:hAnsiTheme="minorHAnsi" w:cstheme="minorHAnsi"/>
        </w:rPr>
        <w:t>načelom</w:t>
      </w:r>
      <w:proofErr w:type="spellEnd"/>
      <w:r w:rsidRPr="00DD22C7">
        <w:rPr>
          <w:rFonts w:asciiTheme="minorHAnsi" w:hAnsiTheme="minorHAnsi" w:cstheme="minorHAnsi"/>
        </w:rPr>
        <w:t xml:space="preserve"> „ne </w:t>
      </w:r>
      <w:proofErr w:type="spellStart"/>
      <w:r w:rsidRPr="00DD22C7">
        <w:rPr>
          <w:rFonts w:asciiTheme="minorHAnsi" w:hAnsiTheme="minorHAnsi" w:cstheme="minorHAnsi"/>
        </w:rPr>
        <w:t>nanosi</w:t>
      </w:r>
      <w:proofErr w:type="spellEnd"/>
      <w:r w:rsidRPr="00DD22C7">
        <w:rPr>
          <w:rFonts w:asciiTheme="minorHAnsi" w:hAnsiTheme="minorHAnsi" w:cstheme="minorHAnsi"/>
        </w:rPr>
        <w:t xml:space="preserve"> </w:t>
      </w:r>
      <w:proofErr w:type="spellStart"/>
      <w:r w:rsidRPr="00DD22C7">
        <w:rPr>
          <w:rFonts w:asciiTheme="minorHAnsi" w:hAnsiTheme="minorHAnsi" w:cstheme="minorHAnsi"/>
        </w:rPr>
        <w:t>bitnu</w:t>
      </w:r>
      <w:proofErr w:type="spellEnd"/>
      <w:r w:rsidRPr="00DD22C7">
        <w:rPr>
          <w:rFonts w:asciiTheme="minorHAnsi" w:hAnsiTheme="minorHAnsi" w:cstheme="minorHAnsi"/>
        </w:rPr>
        <w:t xml:space="preserve"> </w:t>
      </w:r>
      <w:proofErr w:type="spellStart"/>
      <w:r w:rsidRPr="00DD22C7">
        <w:rPr>
          <w:rFonts w:asciiTheme="minorHAnsi" w:hAnsiTheme="minorHAnsi" w:cstheme="minorHAnsi"/>
        </w:rPr>
        <w:t>štetu</w:t>
      </w:r>
      <w:proofErr w:type="spellEnd"/>
      <w:r w:rsidRPr="00DD22C7">
        <w:rPr>
          <w:rFonts w:asciiTheme="minorHAnsi" w:hAnsiTheme="minorHAnsi" w:cstheme="minorHAnsi"/>
        </w:rPr>
        <w:t xml:space="preserve">” </w:t>
      </w:r>
      <w:proofErr w:type="spellStart"/>
      <w:r w:rsidRPr="00DD22C7">
        <w:rPr>
          <w:rFonts w:asciiTheme="minorHAnsi" w:hAnsiTheme="minorHAnsi" w:cstheme="minorHAnsi"/>
        </w:rPr>
        <w:t>jer</w:t>
      </w:r>
      <w:proofErr w:type="spellEnd"/>
      <w:r w:rsidRPr="00DD22C7">
        <w:rPr>
          <w:rFonts w:asciiTheme="minorHAnsi" w:hAnsiTheme="minorHAnsi" w:cstheme="minorHAnsi"/>
        </w:rPr>
        <w:t xml:space="preserve"> je to </w:t>
      </w:r>
      <w:proofErr w:type="spellStart"/>
      <w:r w:rsidRPr="00DD22C7">
        <w:rPr>
          <w:rFonts w:asciiTheme="minorHAnsi" w:hAnsiTheme="minorHAnsi" w:cstheme="minorHAnsi"/>
        </w:rPr>
        <w:t>već</w:t>
      </w:r>
      <w:proofErr w:type="spellEnd"/>
      <w:r w:rsidRPr="00DD22C7">
        <w:rPr>
          <w:rFonts w:asciiTheme="minorHAnsi" w:hAnsiTheme="minorHAnsi" w:cstheme="minorHAnsi"/>
        </w:rPr>
        <w:t xml:space="preserve"> </w:t>
      </w:r>
      <w:proofErr w:type="spellStart"/>
      <w:r w:rsidRPr="00DD22C7">
        <w:rPr>
          <w:rFonts w:asciiTheme="minorHAnsi" w:hAnsiTheme="minorHAnsi" w:cstheme="minorHAnsi"/>
        </w:rPr>
        <w:t>provjereno</w:t>
      </w:r>
      <w:proofErr w:type="spellEnd"/>
      <w:r w:rsidRPr="00DD22C7">
        <w:rPr>
          <w:rFonts w:asciiTheme="minorHAnsi" w:hAnsiTheme="minorHAnsi" w:cstheme="minorHAnsi"/>
        </w:rPr>
        <w:t>”.</w:t>
      </w:r>
    </w:p>
  </w:footnote>
  <w:footnote w:id="10">
    <w:p w14:paraId="13100599" w14:textId="77777777" w:rsidR="00211F70" w:rsidRPr="00CF23C3" w:rsidRDefault="00211F70" w:rsidP="00211F70">
      <w:pPr>
        <w:pStyle w:val="FootnoteText"/>
        <w:spacing w:before="0"/>
        <w:ind w:left="0" w:firstLine="0"/>
        <w:contextualSpacing/>
        <w:rPr>
          <w:rFonts w:asciiTheme="minorHAnsi" w:hAnsiTheme="minorHAnsi" w:cstheme="minorHAnsi"/>
        </w:rPr>
      </w:pPr>
      <w:r w:rsidRPr="00DD22C7">
        <w:rPr>
          <w:rStyle w:val="FootnoteReference"/>
          <w:rFonts w:asciiTheme="minorHAnsi" w:hAnsiTheme="minorHAnsi" w:cstheme="minorHAnsi"/>
        </w:rPr>
        <w:footnoteRef/>
      </w:r>
      <w:r w:rsidRPr="00DD22C7">
        <w:rPr>
          <w:rFonts w:asciiTheme="minorHAnsi" w:hAnsiTheme="minorHAnsi" w:cstheme="minorHAnsi"/>
        </w:rPr>
        <w:tab/>
      </w:r>
      <w:r w:rsidRPr="00DD22C7">
        <w:rPr>
          <w:rFonts w:asciiTheme="minorHAnsi" w:hAnsiTheme="minorHAnsi" w:cstheme="minorHAnsi"/>
        </w:rPr>
        <w:t xml:space="preserve">Model </w:t>
      </w:r>
      <w:proofErr w:type="spellStart"/>
      <w:r w:rsidRPr="00DD22C7">
        <w:rPr>
          <w:rFonts w:asciiTheme="minorHAnsi" w:hAnsiTheme="minorHAnsi" w:cstheme="minorHAnsi"/>
        </w:rPr>
        <w:t>obrasca</w:t>
      </w:r>
      <w:proofErr w:type="spellEnd"/>
      <w:r w:rsidRPr="00DD22C7">
        <w:rPr>
          <w:rFonts w:asciiTheme="minorHAnsi" w:hAnsiTheme="minorHAnsi" w:cstheme="minorHAnsi"/>
        </w:rPr>
        <w:t xml:space="preserve"> o </w:t>
      </w:r>
      <w:proofErr w:type="spellStart"/>
      <w:r w:rsidRPr="00DD22C7">
        <w:rPr>
          <w:rFonts w:asciiTheme="minorHAnsi" w:hAnsiTheme="minorHAnsi" w:cstheme="minorHAnsi"/>
        </w:rPr>
        <w:t>dodatnim</w:t>
      </w:r>
      <w:proofErr w:type="spellEnd"/>
      <w:r w:rsidRPr="00DD22C7">
        <w:rPr>
          <w:rFonts w:asciiTheme="minorHAnsi" w:hAnsiTheme="minorHAnsi" w:cstheme="minorHAnsi"/>
        </w:rPr>
        <w:t xml:space="preserve"> </w:t>
      </w:r>
      <w:proofErr w:type="spellStart"/>
      <w:r w:rsidRPr="00DD22C7">
        <w:rPr>
          <w:rFonts w:asciiTheme="minorHAnsi" w:hAnsiTheme="minorHAnsi" w:cstheme="minorHAnsi"/>
        </w:rPr>
        <w:t>podacima</w:t>
      </w:r>
      <w:proofErr w:type="spellEnd"/>
      <w:r w:rsidRPr="00DD22C7">
        <w:rPr>
          <w:rFonts w:asciiTheme="minorHAnsi" w:hAnsiTheme="minorHAnsi" w:cstheme="minorHAnsi"/>
        </w:rPr>
        <w:t xml:space="preserve"> za </w:t>
      </w:r>
      <w:proofErr w:type="spellStart"/>
      <w:r w:rsidRPr="00DD22C7">
        <w:rPr>
          <w:rFonts w:asciiTheme="minorHAnsi" w:hAnsiTheme="minorHAnsi" w:cstheme="minorHAnsi"/>
        </w:rPr>
        <w:t>prijavu</w:t>
      </w:r>
      <w:proofErr w:type="spellEnd"/>
      <w:r w:rsidRPr="00DD22C7">
        <w:rPr>
          <w:rFonts w:asciiTheme="minorHAnsi" w:hAnsiTheme="minorHAnsi" w:cstheme="minorHAnsi"/>
        </w:rPr>
        <w:t xml:space="preserve"> o </w:t>
      </w:r>
      <w:proofErr w:type="spellStart"/>
      <w:r w:rsidRPr="00DD22C7">
        <w:rPr>
          <w:rFonts w:asciiTheme="minorHAnsi" w:hAnsiTheme="minorHAnsi" w:cstheme="minorHAnsi"/>
        </w:rPr>
        <w:t>planu</w:t>
      </w:r>
      <w:proofErr w:type="spellEnd"/>
      <w:r w:rsidRPr="00DD22C7">
        <w:rPr>
          <w:rFonts w:asciiTheme="minorHAnsi" w:hAnsiTheme="minorHAnsi" w:cstheme="minorHAnsi"/>
        </w:rPr>
        <w:t xml:space="preserve"> </w:t>
      </w:r>
      <w:proofErr w:type="spellStart"/>
      <w:r w:rsidRPr="00DD22C7">
        <w:rPr>
          <w:rFonts w:asciiTheme="minorHAnsi" w:hAnsiTheme="minorHAnsi" w:cstheme="minorHAnsi"/>
        </w:rPr>
        <w:t>evaluacije</w:t>
      </w:r>
      <w:proofErr w:type="spellEnd"/>
      <w:r w:rsidRPr="00DD22C7">
        <w:rPr>
          <w:rFonts w:asciiTheme="minorHAnsi" w:hAnsiTheme="minorHAnsi" w:cstheme="minorHAnsi"/>
        </w:rPr>
        <w:t xml:space="preserve"> (</w:t>
      </w:r>
      <w:proofErr w:type="spellStart"/>
      <w:r w:rsidRPr="00DD22C7">
        <w:rPr>
          <w:rFonts w:asciiTheme="minorHAnsi" w:hAnsiTheme="minorHAnsi" w:cstheme="minorHAnsi"/>
        </w:rPr>
        <w:t>dio</w:t>
      </w:r>
      <w:proofErr w:type="spellEnd"/>
      <w:r w:rsidRPr="00DD22C7">
        <w:rPr>
          <w:rFonts w:asciiTheme="minorHAnsi" w:hAnsiTheme="minorHAnsi" w:cstheme="minorHAnsi"/>
        </w:rPr>
        <w:t xml:space="preserve"> III.8.) </w:t>
      </w:r>
      <w:proofErr w:type="spellStart"/>
      <w:r w:rsidRPr="00DD22C7">
        <w:rPr>
          <w:rFonts w:asciiTheme="minorHAnsi" w:hAnsiTheme="minorHAnsi" w:cstheme="minorHAnsi"/>
        </w:rPr>
        <w:t>dostupan</w:t>
      </w:r>
      <w:proofErr w:type="spellEnd"/>
      <w:r w:rsidRPr="00DD22C7">
        <w:rPr>
          <w:rFonts w:asciiTheme="minorHAnsi" w:hAnsiTheme="minorHAnsi" w:cstheme="minorHAnsi"/>
        </w:rPr>
        <w:t xml:space="preserve"> je </w:t>
      </w:r>
      <w:proofErr w:type="spellStart"/>
      <w:r w:rsidRPr="00DD22C7">
        <w:rPr>
          <w:rFonts w:asciiTheme="minorHAnsi" w:hAnsiTheme="minorHAnsi" w:cstheme="minorHAnsi"/>
        </w:rPr>
        <w:t>ovdje</w:t>
      </w:r>
      <w:proofErr w:type="spellEnd"/>
      <w:r w:rsidRPr="00DD22C7">
        <w:rPr>
          <w:rFonts w:asciiTheme="minorHAnsi" w:hAnsiTheme="minorHAnsi" w:cstheme="minorHAnsi"/>
        </w:rPr>
        <w:t xml:space="preserve">: </w:t>
      </w:r>
      <w:hyperlink r:id="rId1" w:anchor="evaluation-plan" w:history="1">
        <w:r w:rsidRPr="00DD22C7">
          <w:rPr>
            <w:rStyle w:val="Hyperlink"/>
            <w:rFonts w:asciiTheme="minorHAnsi" w:hAnsiTheme="minorHAnsi" w:cstheme="minorHAnsi"/>
          </w:rPr>
          <w:t>https://competition-policy.ec.europa.eu/state-aid/legislation/forms-notifications-and-reporting_en#evaluation-plan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D3186"/>
    <w:multiLevelType w:val="multilevel"/>
    <w:tmpl w:val="D854B24E"/>
    <w:lvl w:ilvl="0">
      <w:start w:val="1"/>
      <w:numFmt w:val="decimal"/>
      <w:lvlRestart w:val="0"/>
      <w:lvlText w:val="%1."/>
      <w:lvlJc w:val="left"/>
      <w:pPr>
        <w:tabs>
          <w:tab w:val="num" w:pos="850"/>
        </w:tabs>
        <w:ind w:left="850" w:hanging="850"/>
      </w:pPr>
      <w:rPr>
        <w:rFonts w:asciiTheme="minorHAnsi" w:hAnsiTheme="minorHAnsi" w:cstheme="minorHAnsi" w:hint="default"/>
        <w:b w:val="0"/>
        <w:i w:val="0"/>
        <w:iCs w:val="0"/>
        <w:sz w:val="22"/>
        <w:szCs w:val="22"/>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decimal"/>
      <w:lvlText w:val="%1.%2.%3.%4.%5."/>
      <w:lvlJc w:val="left"/>
      <w:pPr>
        <w:tabs>
          <w:tab w:val="num" w:pos="1417"/>
        </w:tabs>
        <w:ind w:left="1417" w:hanging="1417"/>
      </w:pPr>
      <w:rPr>
        <w:rFonts w:hint="default"/>
      </w:rPr>
    </w:lvl>
    <w:lvl w:ilvl="5">
      <w:start w:val="1"/>
      <w:numFmt w:val="decimal"/>
      <w:lvlText w:val="%1.%2.%3.%4.%5.%6."/>
      <w:lvlJc w:val="left"/>
      <w:pPr>
        <w:tabs>
          <w:tab w:val="num" w:pos="1417"/>
        </w:tabs>
        <w:ind w:left="1417" w:hanging="1417"/>
      </w:pPr>
      <w:rPr>
        <w:rFonts w:hint="default"/>
      </w:rPr>
    </w:lvl>
    <w:lvl w:ilvl="6">
      <w:start w:val="1"/>
      <w:numFmt w:val="decimal"/>
      <w:lvlText w:val="%1.%2.%3.%4.%5.%6.%7."/>
      <w:lvlJc w:val="left"/>
      <w:pPr>
        <w:tabs>
          <w:tab w:val="num" w:pos="1417"/>
        </w:tabs>
        <w:ind w:left="1417" w:hanging="1417"/>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3963CA3"/>
    <w:multiLevelType w:val="hybridMultilevel"/>
    <w:tmpl w:val="6E567A44"/>
    <w:lvl w:ilvl="0" w:tplc="500079D6">
      <w:start w:val="1"/>
      <w:numFmt w:val="lowerRoman"/>
      <w:pStyle w:val="Stylei"/>
      <w:lvlText w:val="(%1)"/>
      <w:lvlJc w:val="left"/>
      <w:pPr>
        <w:ind w:left="2700" w:hanging="360"/>
      </w:pPr>
      <w:rPr>
        <w:rFonts w:ascii="Calibri" w:hAnsi="Calibri" w:cs="Calibri" w:hint="default"/>
        <w:sz w:val="22"/>
        <w:szCs w:val="22"/>
      </w:rPr>
    </w:lvl>
    <w:lvl w:ilvl="1" w:tplc="065A08CE">
      <w:start w:val="1"/>
      <w:numFmt w:val="lowerLetter"/>
      <w:lvlText w:val="(%2)"/>
      <w:lvlJc w:val="left"/>
      <w:pPr>
        <w:ind w:left="3420" w:hanging="360"/>
      </w:pPr>
      <w:rPr>
        <w:rFonts w:ascii="Calibri" w:hAnsi="Calibri" w:cs="Calibri" w:hint="default"/>
        <w:i w:val="0"/>
      </w:rPr>
    </w:lvl>
    <w:lvl w:ilvl="2" w:tplc="1809001B" w:tentative="1">
      <w:start w:val="1"/>
      <w:numFmt w:val="lowerRoman"/>
      <w:lvlText w:val="%3."/>
      <w:lvlJc w:val="right"/>
      <w:pPr>
        <w:ind w:left="4140" w:hanging="180"/>
      </w:pPr>
    </w:lvl>
    <w:lvl w:ilvl="3" w:tplc="1809000F" w:tentative="1">
      <w:start w:val="1"/>
      <w:numFmt w:val="decimal"/>
      <w:lvlText w:val="%4."/>
      <w:lvlJc w:val="left"/>
      <w:pPr>
        <w:ind w:left="4860" w:hanging="360"/>
      </w:pPr>
    </w:lvl>
    <w:lvl w:ilvl="4" w:tplc="18090019" w:tentative="1">
      <w:start w:val="1"/>
      <w:numFmt w:val="lowerLetter"/>
      <w:lvlText w:val="%5."/>
      <w:lvlJc w:val="left"/>
      <w:pPr>
        <w:ind w:left="5580" w:hanging="360"/>
      </w:pPr>
    </w:lvl>
    <w:lvl w:ilvl="5" w:tplc="1809001B" w:tentative="1">
      <w:start w:val="1"/>
      <w:numFmt w:val="lowerRoman"/>
      <w:lvlText w:val="%6."/>
      <w:lvlJc w:val="right"/>
      <w:pPr>
        <w:ind w:left="6300" w:hanging="180"/>
      </w:pPr>
    </w:lvl>
    <w:lvl w:ilvl="6" w:tplc="1809000F" w:tentative="1">
      <w:start w:val="1"/>
      <w:numFmt w:val="decimal"/>
      <w:lvlText w:val="%7."/>
      <w:lvlJc w:val="left"/>
      <w:pPr>
        <w:ind w:left="7020" w:hanging="360"/>
      </w:pPr>
    </w:lvl>
    <w:lvl w:ilvl="7" w:tplc="18090019" w:tentative="1">
      <w:start w:val="1"/>
      <w:numFmt w:val="lowerLetter"/>
      <w:lvlText w:val="%8."/>
      <w:lvlJc w:val="left"/>
      <w:pPr>
        <w:ind w:left="7740" w:hanging="360"/>
      </w:pPr>
    </w:lvl>
    <w:lvl w:ilvl="8" w:tplc="1809001B" w:tentative="1">
      <w:start w:val="1"/>
      <w:numFmt w:val="lowerRoman"/>
      <w:lvlText w:val="%9."/>
      <w:lvlJc w:val="right"/>
      <w:pPr>
        <w:ind w:left="8460" w:hanging="180"/>
      </w:pPr>
    </w:lvl>
  </w:abstractNum>
  <w:abstractNum w:abstractNumId="2" w15:restartNumberingAfterBreak="0">
    <w:nsid w:val="068C5C56"/>
    <w:multiLevelType w:val="hybridMultilevel"/>
    <w:tmpl w:val="B0C4D2D4"/>
    <w:lvl w:ilvl="0" w:tplc="F75638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E0B8B"/>
    <w:multiLevelType w:val="hybridMultilevel"/>
    <w:tmpl w:val="FF36658E"/>
    <w:lvl w:ilvl="0" w:tplc="055297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3C78B8"/>
    <w:multiLevelType w:val="multilevel"/>
    <w:tmpl w:val="E2FA46EA"/>
    <w:name w:val="Point"/>
    <w:lvl w:ilvl="0">
      <w:start w:val="1"/>
      <w:numFmt w:val="decimal"/>
      <w:lvlRestart w:val="0"/>
      <w:lvlText w:val="(%1)"/>
      <w:lvlJc w:val="left"/>
      <w:pPr>
        <w:tabs>
          <w:tab w:val="num" w:pos="850"/>
        </w:tabs>
        <w:ind w:left="850" w:hanging="850"/>
      </w:pPr>
      <w:rPr>
        <w:rFonts w:hint="default"/>
      </w:rPr>
    </w:lvl>
    <w:lvl w:ilvl="1">
      <w:start w:val="1"/>
      <w:numFmt w:val="lowerLetter"/>
      <w:lvlText w:val="(%2)"/>
      <w:lvlJc w:val="left"/>
      <w:pPr>
        <w:tabs>
          <w:tab w:val="num" w:pos="850"/>
        </w:tabs>
        <w:ind w:left="850" w:hanging="850"/>
      </w:pPr>
      <w:rPr>
        <w:rFonts w:hint="default"/>
      </w:rPr>
    </w:lvl>
    <w:lvl w:ilvl="2">
      <w:start w:val="1"/>
      <w:numFmt w:val="decimal"/>
      <w:pStyle w:val="Point1number"/>
      <w:lvlText w:val="(%3)"/>
      <w:lvlJc w:val="left"/>
      <w:pPr>
        <w:tabs>
          <w:tab w:val="num" w:pos="1417"/>
        </w:tabs>
        <w:ind w:left="1417" w:hanging="567"/>
      </w:pPr>
      <w:rPr>
        <w:rFonts w:hint="default"/>
      </w:rPr>
    </w:lvl>
    <w:lvl w:ilvl="3">
      <w:start w:val="1"/>
      <w:numFmt w:val="lowerLetter"/>
      <w:pStyle w:val="Point1letter"/>
      <w:lvlText w:val="(%4)"/>
      <w:lvlJc w:val="left"/>
      <w:pPr>
        <w:tabs>
          <w:tab w:val="num" w:pos="1417"/>
        </w:tabs>
        <w:ind w:left="1417" w:hanging="567"/>
      </w:pPr>
      <w:rPr>
        <w:rFonts w:asciiTheme="minorHAnsi" w:hAnsiTheme="minorHAnsi" w:hint="default"/>
        <w:i w:val="0"/>
        <w:iCs/>
        <w:sz w:val="22"/>
        <w:szCs w:val="22"/>
      </w:rPr>
    </w:lvl>
    <w:lvl w:ilvl="4">
      <w:start w:val="1"/>
      <w:numFmt w:val="decimal"/>
      <w:pStyle w:val="Point2number"/>
      <w:lvlText w:val="(%5)"/>
      <w:lvlJc w:val="left"/>
      <w:pPr>
        <w:tabs>
          <w:tab w:val="num" w:pos="1984"/>
        </w:tabs>
        <w:ind w:left="1984" w:hanging="567"/>
      </w:pPr>
      <w:rPr>
        <w:rFonts w:hint="default"/>
      </w:rPr>
    </w:lvl>
    <w:lvl w:ilvl="5">
      <w:start w:val="1"/>
      <w:numFmt w:val="lowerLetter"/>
      <w:pStyle w:val="Point2letter"/>
      <w:lvlText w:val="(%6)"/>
      <w:lvlJc w:val="left"/>
      <w:pPr>
        <w:tabs>
          <w:tab w:val="num" w:pos="1984"/>
        </w:tabs>
        <w:ind w:left="1984" w:hanging="567"/>
      </w:pPr>
      <w:rPr>
        <w:rFonts w:asciiTheme="minorHAnsi" w:hAnsiTheme="minorHAnsi" w:hint="default"/>
        <w:sz w:val="22"/>
        <w:szCs w:val="22"/>
      </w:rPr>
    </w:lvl>
    <w:lvl w:ilvl="6">
      <w:start w:val="1"/>
      <w:numFmt w:val="decimal"/>
      <w:pStyle w:val="Point3number"/>
      <w:lvlText w:val="(%7)"/>
      <w:lvlJc w:val="left"/>
      <w:pPr>
        <w:tabs>
          <w:tab w:val="num" w:pos="2551"/>
        </w:tabs>
        <w:ind w:left="2551" w:hanging="567"/>
      </w:pPr>
      <w:rPr>
        <w:rFonts w:hint="default"/>
      </w:rPr>
    </w:lvl>
    <w:lvl w:ilvl="7">
      <w:start w:val="1"/>
      <w:numFmt w:val="lowerLetter"/>
      <w:pStyle w:val="Point3letter"/>
      <w:lvlText w:val="(%8)"/>
      <w:lvlJc w:val="left"/>
      <w:pPr>
        <w:tabs>
          <w:tab w:val="num" w:pos="2551"/>
        </w:tabs>
        <w:ind w:left="2551" w:hanging="567"/>
      </w:pPr>
      <w:rPr>
        <w:rFonts w:hint="default"/>
      </w:rPr>
    </w:lvl>
    <w:lvl w:ilvl="8">
      <w:start w:val="1"/>
      <w:numFmt w:val="lowerLetter"/>
      <w:pStyle w:val="Point4letter"/>
      <w:lvlText w:val="(%9)"/>
      <w:lvlJc w:val="left"/>
      <w:pPr>
        <w:tabs>
          <w:tab w:val="num" w:pos="3118"/>
        </w:tabs>
        <w:ind w:left="3118" w:hanging="567"/>
      </w:pPr>
      <w:rPr>
        <w:rFonts w:hint="default"/>
      </w:rPr>
    </w:lvl>
  </w:abstractNum>
  <w:abstractNum w:abstractNumId="5" w15:restartNumberingAfterBreak="0">
    <w:nsid w:val="3E6A39C8"/>
    <w:multiLevelType w:val="hybridMultilevel"/>
    <w:tmpl w:val="6F661712"/>
    <w:lvl w:ilvl="0" w:tplc="42366F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4A2848"/>
    <w:multiLevelType w:val="hybridMultilevel"/>
    <w:tmpl w:val="BFC43AB4"/>
    <w:lvl w:ilvl="0" w:tplc="18A0FF74">
      <w:start w:val="1"/>
      <w:numFmt w:val="lowerLetter"/>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965D26"/>
    <w:multiLevelType w:val="hybridMultilevel"/>
    <w:tmpl w:val="8288309C"/>
    <w:lvl w:ilvl="0" w:tplc="2FB24E16">
      <w:start w:val="1"/>
      <w:numFmt w:val="lowerRoman"/>
      <w:lvlText w:val="(%1)"/>
      <w:lvlJc w:val="left"/>
      <w:pPr>
        <w:ind w:left="1080" w:hanging="72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19320A"/>
    <w:multiLevelType w:val="multilevel"/>
    <w:tmpl w:val="08309E5A"/>
    <w:lvl w:ilvl="0">
      <w:start w:val="1"/>
      <w:numFmt w:val="decimal"/>
      <w:lvlRestart w:val="0"/>
      <w:lvlText w:val="%1."/>
      <w:lvlJc w:val="left"/>
      <w:pPr>
        <w:tabs>
          <w:tab w:val="num" w:pos="850"/>
        </w:tabs>
        <w:ind w:left="850" w:hanging="850"/>
      </w:pPr>
      <w:rPr>
        <w:rFonts w:asciiTheme="minorHAnsi" w:hAnsiTheme="minorHAnsi" w:cstheme="minorHAnsi" w:hint="default"/>
        <w:sz w:val="22"/>
        <w:szCs w:val="22"/>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rPr>
        <w:rFonts w:asciiTheme="minorHAnsi" w:hAnsiTheme="minorHAnsi" w:cstheme="minorHAnsi" w:hint="default"/>
        <w:sz w:val="22"/>
        <w:szCs w:val="22"/>
      </w:rPr>
    </w:lvl>
    <w:lvl w:ilvl="3">
      <w:start w:val="1"/>
      <w:numFmt w:val="decimal"/>
      <w:lvlText w:val="%1.%2.%3.%4."/>
      <w:lvlJc w:val="left"/>
      <w:pPr>
        <w:tabs>
          <w:tab w:val="num" w:pos="850"/>
        </w:tabs>
        <w:ind w:left="850" w:hanging="850"/>
      </w:pPr>
    </w:lvl>
    <w:lvl w:ilvl="4">
      <w:start w:val="1"/>
      <w:numFmt w:val="decimal"/>
      <w:lvlText w:val="%1.%2.%3.%4.%5."/>
      <w:lvlJc w:val="left"/>
      <w:pPr>
        <w:tabs>
          <w:tab w:val="num" w:pos="1417"/>
        </w:tabs>
        <w:ind w:left="1417" w:hanging="1417"/>
      </w:pPr>
    </w:lvl>
    <w:lvl w:ilvl="5">
      <w:start w:val="1"/>
      <w:numFmt w:val="decimal"/>
      <w:lvlText w:val="%1.%2.%3.%4.%5.%6."/>
      <w:lvlJc w:val="left"/>
      <w:pPr>
        <w:tabs>
          <w:tab w:val="num" w:pos="1417"/>
        </w:tabs>
        <w:ind w:left="1417" w:hanging="1417"/>
      </w:pPr>
    </w:lvl>
    <w:lvl w:ilvl="6">
      <w:start w:val="1"/>
      <w:numFmt w:val="decimal"/>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9281179"/>
    <w:multiLevelType w:val="hybridMultilevel"/>
    <w:tmpl w:val="BFC43AB4"/>
    <w:lvl w:ilvl="0" w:tplc="18A0FF74">
      <w:start w:val="1"/>
      <w:numFmt w:val="lowerLetter"/>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E75525"/>
    <w:multiLevelType w:val="hybridMultilevel"/>
    <w:tmpl w:val="EDEC2A52"/>
    <w:lvl w:ilvl="0" w:tplc="E2208B0E">
      <w:start w:val="1"/>
      <w:numFmt w:val="lowerLetter"/>
      <w:lvlText w:val="(%1)"/>
      <w:lvlJc w:val="left"/>
      <w:pPr>
        <w:ind w:left="1080" w:hanging="360"/>
      </w:pPr>
      <w:rPr>
        <w:rFonts w:hint="default"/>
        <w:i w:val="0"/>
        <w:i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AF2216B"/>
    <w:multiLevelType w:val="hybridMultilevel"/>
    <w:tmpl w:val="FCDC1CBE"/>
    <w:lvl w:ilvl="0" w:tplc="18A0FF74">
      <w:start w:val="1"/>
      <w:numFmt w:val="lowerLetter"/>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E95951"/>
    <w:multiLevelType w:val="hybridMultilevel"/>
    <w:tmpl w:val="98300290"/>
    <w:lvl w:ilvl="0" w:tplc="921CCD7E">
      <w:start w:val="1"/>
      <w:numFmt w:val="lowerLetter"/>
      <w:lvlText w:val="(%1)"/>
      <w:lvlJc w:val="left"/>
      <w:pPr>
        <w:ind w:left="720" w:hanging="360"/>
      </w:pPr>
      <w:rPr>
        <w:rFonts w:asciiTheme="minorHAnsi" w:hAnsiTheme="minorHAnsi" w:cstheme="minorHAnsi"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F150D7"/>
    <w:multiLevelType w:val="hybridMultilevel"/>
    <w:tmpl w:val="269802D4"/>
    <w:lvl w:ilvl="0" w:tplc="93FA58F4">
      <w:start w:val="3"/>
      <w:numFmt w:val="lowerLetter"/>
      <w:lvlText w:val="%1)"/>
      <w:lvlJc w:val="left"/>
      <w:pPr>
        <w:ind w:left="2704"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1B06E0"/>
    <w:multiLevelType w:val="multilevel"/>
    <w:tmpl w:val="66009890"/>
    <w:lvl w:ilvl="0">
      <w:start w:val="1"/>
      <w:numFmt w:val="decimal"/>
      <w:lvlRestart w:val="0"/>
      <w:pStyle w:val="Heading1"/>
      <w:lvlText w:val="%1."/>
      <w:lvlJc w:val="left"/>
      <w:pPr>
        <w:tabs>
          <w:tab w:val="num" w:pos="850"/>
        </w:tabs>
        <w:ind w:left="850" w:hanging="850"/>
      </w:pPr>
      <w:rPr>
        <w:rFonts w:asciiTheme="minorHAnsi" w:hAnsiTheme="minorHAnsi" w:cstheme="minorHAnsi" w:hint="default"/>
        <w:b/>
        <w:i w:val="0"/>
        <w:sz w:val="22"/>
        <w:szCs w:val="22"/>
      </w:rPr>
    </w:lvl>
    <w:lvl w:ilvl="1">
      <w:start w:val="1"/>
      <w:numFmt w:val="decimal"/>
      <w:pStyle w:val="Heading2"/>
      <w:lvlText w:val="%1.%2."/>
      <w:lvlJc w:val="left"/>
      <w:pPr>
        <w:tabs>
          <w:tab w:val="num" w:pos="850"/>
        </w:tabs>
        <w:ind w:left="850" w:hanging="850"/>
      </w:pPr>
      <w:rPr>
        <w:rFonts w:hint="default"/>
        <w:b w:val="0"/>
        <w:color w:val="auto"/>
        <w:sz w:val="22"/>
        <w:szCs w:val="22"/>
      </w:rPr>
    </w:lvl>
    <w:lvl w:ilvl="2">
      <w:start w:val="1"/>
      <w:numFmt w:val="decimal"/>
      <w:pStyle w:val="Heading3"/>
      <w:lvlText w:val="%1.%2.%3."/>
      <w:lvlJc w:val="left"/>
      <w:pPr>
        <w:tabs>
          <w:tab w:val="num" w:pos="850"/>
        </w:tabs>
        <w:ind w:left="850" w:hanging="850"/>
      </w:pPr>
      <w:rPr>
        <w:rFonts w:hint="default"/>
        <w:b w:val="0"/>
        <w:sz w:val="22"/>
        <w:szCs w:val="22"/>
      </w:rPr>
    </w:lvl>
    <w:lvl w:ilvl="3">
      <w:start w:val="1"/>
      <w:numFmt w:val="decimal"/>
      <w:pStyle w:val="Heading4"/>
      <w:lvlText w:val="%1.%2.%3.%4."/>
      <w:lvlJc w:val="left"/>
      <w:pPr>
        <w:tabs>
          <w:tab w:val="num" w:pos="850"/>
        </w:tabs>
        <w:ind w:left="850" w:hanging="850"/>
      </w:pPr>
      <w:rPr>
        <w:rFonts w:hint="default"/>
      </w:rPr>
    </w:lvl>
    <w:lvl w:ilvl="4">
      <w:start w:val="1"/>
      <w:numFmt w:val="decimal"/>
      <w:pStyle w:val="Heading5"/>
      <w:lvlText w:val="%1.%2.%3.%4.%5."/>
      <w:lvlJc w:val="left"/>
      <w:pPr>
        <w:tabs>
          <w:tab w:val="num" w:pos="1417"/>
        </w:tabs>
        <w:ind w:left="1417" w:hanging="1417"/>
      </w:pPr>
      <w:rPr>
        <w:rFonts w:hint="default"/>
      </w:rPr>
    </w:lvl>
    <w:lvl w:ilvl="5">
      <w:start w:val="1"/>
      <w:numFmt w:val="decimal"/>
      <w:pStyle w:val="Heading6"/>
      <w:lvlText w:val="%1.%2.%3.%4.%5.%6."/>
      <w:lvlJc w:val="left"/>
      <w:pPr>
        <w:tabs>
          <w:tab w:val="num" w:pos="1417"/>
        </w:tabs>
        <w:ind w:left="1417" w:hanging="1417"/>
      </w:pPr>
      <w:rPr>
        <w:rFonts w:hint="default"/>
      </w:rPr>
    </w:lvl>
    <w:lvl w:ilvl="6">
      <w:start w:val="1"/>
      <w:numFmt w:val="decimal"/>
      <w:pStyle w:val="Heading7"/>
      <w:lvlText w:val="%1.%2.%3.%4.%5.%6.%7."/>
      <w:lvlJc w:val="left"/>
      <w:pPr>
        <w:tabs>
          <w:tab w:val="num" w:pos="1417"/>
        </w:tabs>
        <w:ind w:left="1417" w:hanging="1417"/>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A03161E"/>
    <w:multiLevelType w:val="hybridMultilevel"/>
    <w:tmpl w:val="E48C6856"/>
    <w:lvl w:ilvl="0" w:tplc="32927ABC">
      <w:start w:val="1"/>
      <w:numFmt w:val="lowerLetter"/>
      <w:lvlText w:val="(%1)"/>
      <w:lvlJc w:val="left"/>
      <w:pPr>
        <w:ind w:left="720" w:hanging="360"/>
      </w:pPr>
      <w:rPr>
        <w:rFonts w:ascii="Calibri" w:hAnsi="Calibri" w:cs="Calibri"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
    <w:lvlOverride w:ilvl="0">
      <w:startOverride w:val="1"/>
    </w:lvlOverride>
  </w:num>
  <w:num w:numId="3">
    <w:abstractNumId w:val="4"/>
  </w:num>
  <w:num w:numId="4">
    <w:abstractNumId w:val="11"/>
  </w:num>
  <w:num w:numId="5">
    <w:abstractNumId w:val="5"/>
  </w:num>
  <w:num w:numId="6">
    <w:abstractNumId w:val="15"/>
  </w:num>
  <w:num w:numId="7">
    <w:abstractNumId w:val="12"/>
  </w:num>
  <w:num w:numId="8">
    <w:abstractNumId w:val="3"/>
  </w:num>
  <w:num w:numId="9">
    <w:abstractNumId w:val="2"/>
  </w:num>
  <w:num w:numId="10">
    <w:abstractNumId w:val="9"/>
  </w:num>
  <w:num w:numId="11">
    <w:abstractNumId w:val="6"/>
  </w:num>
  <w:num w:numId="12">
    <w:abstractNumId w:val="4"/>
    <w:lvlOverride w:ilvl="0">
      <w:startOverride w:val="1"/>
    </w:lvlOverride>
    <w:lvlOverride w:ilvl="1">
      <w:startOverride w:val="10"/>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8"/>
  </w:num>
  <w:num w:numId="15">
    <w:abstractNumId w:val="10"/>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3"/>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2B9"/>
    <w:rsid w:val="001E27D7"/>
    <w:rsid w:val="00211F70"/>
    <w:rsid w:val="0025554E"/>
    <w:rsid w:val="00C41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69DC7"/>
  <w15:chartTrackingRefBased/>
  <w15:docId w15:val="{B89BF704-094F-4A26-9D67-0A85E9280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1F70"/>
  </w:style>
  <w:style w:type="paragraph" w:styleId="Heading1">
    <w:name w:val="heading 1"/>
    <w:basedOn w:val="Normal"/>
    <w:next w:val="Normal"/>
    <w:link w:val="Heading1Char"/>
    <w:qFormat/>
    <w:rsid w:val="00211F70"/>
    <w:pPr>
      <w:numPr>
        <w:numId w:val="1"/>
      </w:numPr>
      <w:spacing w:before="75" w:after="75" w:line="240" w:lineRule="auto"/>
      <w:ind w:right="-29"/>
      <w:jc w:val="center"/>
      <w:outlineLvl w:val="0"/>
    </w:pPr>
    <w:rPr>
      <w:rFonts w:ascii="Times New Roman" w:eastAsia="Times New Roman" w:hAnsi="Times New Roman" w:cs="Times New Roman"/>
      <w:b/>
      <w:sz w:val="48"/>
      <w:szCs w:val="48"/>
      <w:lang w:val="hr-HR" w:eastAsia="hr-HR" w:bidi="hr-HR"/>
    </w:rPr>
  </w:style>
  <w:style w:type="paragraph" w:styleId="Heading2">
    <w:name w:val="heading 2"/>
    <w:basedOn w:val="Normal"/>
    <w:next w:val="Normal"/>
    <w:link w:val="Heading2Char"/>
    <w:uiPriority w:val="9"/>
    <w:unhideWhenUsed/>
    <w:qFormat/>
    <w:rsid w:val="00211F70"/>
    <w:pPr>
      <w:keepNext/>
      <w:keepLines/>
      <w:numPr>
        <w:ilvl w:val="1"/>
        <w:numId w:val="1"/>
      </w:numPr>
      <w:spacing w:before="200" w:after="0" w:line="240" w:lineRule="auto"/>
      <w:jc w:val="both"/>
      <w:outlineLvl w:val="1"/>
    </w:pPr>
    <w:rPr>
      <w:rFonts w:ascii="Cambria" w:eastAsia="SimSun" w:hAnsi="Cambria" w:cs="Times New Roman"/>
      <w:b/>
      <w:bCs/>
      <w:color w:val="4F81BD"/>
      <w:sz w:val="26"/>
      <w:szCs w:val="26"/>
      <w:lang w:val="hr-HR" w:eastAsia="hr-HR" w:bidi="hr-HR"/>
    </w:rPr>
  </w:style>
  <w:style w:type="paragraph" w:styleId="Heading3">
    <w:name w:val="heading 3"/>
    <w:basedOn w:val="Normal"/>
    <w:next w:val="Normal"/>
    <w:link w:val="Heading3Char"/>
    <w:uiPriority w:val="9"/>
    <w:unhideWhenUsed/>
    <w:qFormat/>
    <w:rsid w:val="00211F70"/>
    <w:pPr>
      <w:keepNext/>
      <w:keepLines/>
      <w:numPr>
        <w:ilvl w:val="2"/>
        <w:numId w:val="1"/>
      </w:numPr>
      <w:spacing w:before="200" w:after="0" w:line="240" w:lineRule="auto"/>
      <w:jc w:val="both"/>
      <w:outlineLvl w:val="2"/>
    </w:pPr>
    <w:rPr>
      <w:rFonts w:ascii="Cambria" w:eastAsia="SimSun" w:hAnsi="Cambria" w:cs="Times New Roman"/>
      <w:b/>
      <w:bCs/>
      <w:color w:val="4F81BD"/>
      <w:sz w:val="24"/>
      <w:szCs w:val="20"/>
      <w:lang w:val="hr-HR" w:eastAsia="hr-HR" w:bidi="hr-HR"/>
    </w:rPr>
  </w:style>
  <w:style w:type="paragraph" w:styleId="Heading4">
    <w:name w:val="heading 4"/>
    <w:basedOn w:val="Normal"/>
    <w:next w:val="Normal"/>
    <w:link w:val="Heading4Char"/>
    <w:unhideWhenUsed/>
    <w:qFormat/>
    <w:rsid w:val="00211F70"/>
    <w:pPr>
      <w:keepNext/>
      <w:keepLines/>
      <w:numPr>
        <w:ilvl w:val="3"/>
        <w:numId w:val="1"/>
      </w:numPr>
      <w:spacing w:before="200" w:after="0" w:line="240" w:lineRule="auto"/>
      <w:jc w:val="both"/>
      <w:outlineLvl w:val="3"/>
    </w:pPr>
    <w:rPr>
      <w:rFonts w:ascii="Cambria" w:eastAsia="SimSun" w:hAnsi="Cambria" w:cs="Times New Roman"/>
      <w:b/>
      <w:bCs/>
      <w:i/>
      <w:iCs/>
      <w:color w:val="4F81BD"/>
      <w:sz w:val="24"/>
      <w:szCs w:val="20"/>
      <w:lang w:val="hr-HR" w:eastAsia="hr-HR" w:bidi="hr-HR"/>
    </w:rPr>
  </w:style>
  <w:style w:type="paragraph" w:styleId="Heading5">
    <w:name w:val="heading 5"/>
    <w:basedOn w:val="Normal"/>
    <w:next w:val="Normal"/>
    <w:link w:val="Heading5Char"/>
    <w:uiPriority w:val="9"/>
    <w:unhideWhenUsed/>
    <w:qFormat/>
    <w:rsid w:val="00211F70"/>
    <w:pPr>
      <w:keepNext/>
      <w:keepLines/>
      <w:numPr>
        <w:ilvl w:val="4"/>
        <w:numId w:val="1"/>
      </w:numPr>
      <w:spacing w:before="200" w:after="0" w:line="240" w:lineRule="auto"/>
      <w:jc w:val="both"/>
      <w:outlineLvl w:val="4"/>
    </w:pPr>
    <w:rPr>
      <w:rFonts w:ascii="Cambria" w:eastAsia="SimSun" w:hAnsi="Cambria" w:cs="Times New Roman"/>
      <w:color w:val="243F60"/>
      <w:sz w:val="24"/>
      <w:szCs w:val="20"/>
      <w:lang w:val="hr-HR" w:eastAsia="hr-HR" w:bidi="hr-HR"/>
    </w:rPr>
  </w:style>
  <w:style w:type="paragraph" w:styleId="Heading6">
    <w:name w:val="heading 6"/>
    <w:basedOn w:val="Normal"/>
    <w:next w:val="Normal"/>
    <w:link w:val="Heading6Char"/>
    <w:uiPriority w:val="9"/>
    <w:semiHidden/>
    <w:unhideWhenUsed/>
    <w:qFormat/>
    <w:rsid w:val="00211F70"/>
    <w:pPr>
      <w:keepNext/>
      <w:keepLines/>
      <w:numPr>
        <w:ilvl w:val="5"/>
        <w:numId w:val="1"/>
      </w:numPr>
      <w:spacing w:before="200" w:after="0" w:line="240" w:lineRule="auto"/>
      <w:jc w:val="both"/>
      <w:outlineLvl w:val="5"/>
    </w:pPr>
    <w:rPr>
      <w:rFonts w:ascii="Cambria" w:eastAsia="SimSun" w:hAnsi="Cambria" w:cs="Times New Roman"/>
      <w:i/>
      <w:iCs/>
      <w:color w:val="243F60"/>
      <w:sz w:val="24"/>
      <w:szCs w:val="20"/>
      <w:lang w:val="hr-HR" w:eastAsia="hr-HR" w:bidi="hr-HR"/>
    </w:rPr>
  </w:style>
  <w:style w:type="paragraph" w:styleId="Heading7">
    <w:name w:val="heading 7"/>
    <w:basedOn w:val="Normal"/>
    <w:next w:val="Normal"/>
    <w:link w:val="Heading7Char"/>
    <w:uiPriority w:val="9"/>
    <w:semiHidden/>
    <w:unhideWhenUsed/>
    <w:qFormat/>
    <w:rsid w:val="00211F70"/>
    <w:pPr>
      <w:numPr>
        <w:ilvl w:val="6"/>
        <w:numId w:val="1"/>
      </w:numPr>
      <w:spacing w:before="240" w:after="60" w:line="240" w:lineRule="auto"/>
      <w:jc w:val="both"/>
      <w:outlineLvl w:val="6"/>
    </w:pPr>
    <w:rPr>
      <w:rFonts w:ascii="Calibri" w:eastAsia="Times New Roman" w:hAnsi="Calibri"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1F70"/>
    <w:rPr>
      <w:rFonts w:ascii="Times New Roman" w:eastAsia="Times New Roman" w:hAnsi="Times New Roman" w:cs="Times New Roman"/>
      <w:b/>
      <w:sz w:val="48"/>
      <w:szCs w:val="48"/>
      <w:lang w:val="hr-HR" w:eastAsia="hr-HR" w:bidi="hr-HR"/>
    </w:rPr>
  </w:style>
  <w:style w:type="character" w:customStyle="1" w:styleId="Heading2Char">
    <w:name w:val="Heading 2 Char"/>
    <w:basedOn w:val="DefaultParagraphFont"/>
    <w:link w:val="Heading2"/>
    <w:uiPriority w:val="9"/>
    <w:rsid w:val="00211F70"/>
    <w:rPr>
      <w:rFonts w:ascii="Cambria" w:eastAsia="SimSun" w:hAnsi="Cambria" w:cs="Times New Roman"/>
      <w:b/>
      <w:bCs/>
      <w:color w:val="4F81BD"/>
      <w:sz w:val="26"/>
      <w:szCs w:val="26"/>
      <w:lang w:val="hr-HR" w:eastAsia="hr-HR" w:bidi="hr-HR"/>
    </w:rPr>
  </w:style>
  <w:style w:type="character" w:customStyle="1" w:styleId="Heading3Char">
    <w:name w:val="Heading 3 Char"/>
    <w:basedOn w:val="DefaultParagraphFont"/>
    <w:link w:val="Heading3"/>
    <w:uiPriority w:val="9"/>
    <w:rsid w:val="00211F70"/>
    <w:rPr>
      <w:rFonts w:ascii="Cambria" w:eastAsia="SimSun" w:hAnsi="Cambria" w:cs="Times New Roman"/>
      <w:b/>
      <w:bCs/>
      <w:color w:val="4F81BD"/>
      <w:sz w:val="24"/>
      <w:szCs w:val="20"/>
      <w:lang w:val="hr-HR" w:eastAsia="hr-HR" w:bidi="hr-HR"/>
    </w:rPr>
  </w:style>
  <w:style w:type="character" w:customStyle="1" w:styleId="Heading4Char">
    <w:name w:val="Heading 4 Char"/>
    <w:basedOn w:val="DefaultParagraphFont"/>
    <w:link w:val="Heading4"/>
    <w:rsid w:val="00211F70"/>
    <w:rPr>
      <w:rFonts w:ascii="Cambria" w:eastAsia="SimSun" w:hAnsi="Cambria" w:cs="Times New Roman"/>
      <w:b/>
      <w:bCs/>
      <w:i/>
      <w:iCs/>
      <w:color w:val="4F81BD"/>
      <w:sz w:val="24"/>
      <w:szCs w:val="20"/>
      <w:lang w:val="hr-HR" w:eastAsia="hr-HR" w:bidi="hr-HR"/>
    </w:rPr>
  </w:style>
  <w:style w:type="character" w:customStyle="1" w:styleId="Heading5Char">
    <w:name w:val="Heading 5 Char"/>
    <w:basedOn w:val="DefaultParagraphFont"/>
    <w:link w:val="Heading5"/>
    <w:uiPriority w:val="9"/>
    <w:rsid w:val="00211F70"/>
    <w:rPr>
      <w:rFonts w:ascii="Cambria" w:eastAsia="SimSun" w:hAnsi="Cambria" w:cs="Times New Roman"/>
      <w:color w:val="243F60"/>
      <w:sz w:val="24"/>
      <w:szCs w:val="20"/>
      <w:lang w:val="hr-HR" w:eastAsia="hr-HR" w:bidi="hr-HR"/>
    </w:rPr>
  </w:style>
  <w:style w:type="character" w:customStyle="1" w:styleId="Heading6Char">
    <w:name w:val="Heading 6 Char"/>
    <w:basedOn w:val="DefaultParagraphFont"/>
    <w:link w:val="Heading6"/>
    <w:uiPriority w:val="9"/>
    <w:semiHidden/>
    <w:rsid w:val="00211F70"/>
    <w:rPr>
      <w:rFonts w:ascii="Cambria" w:eastAsia="SimSun" w:hAnsi="Cambria" w:cs="Times New Roman"/>
      <w:i/>
      <w:iCs/>
      <w:color w:val="243F60"/>
      <w:sz w:val="24"/>
      <w:szCs w:val="20"/>
      <w:lang w:val="hr-HR" w:eastAsia="hr-HR" w:bidi="hr-HR"/>
    </w:rPr>
  </w:style>
  <w:style w:type="character" w:customStyle="1" w:styleId="Heading7Char">
    <w:name w:val="Heading 7 Char"/>
    <w:basedOn w:val="DefaultParagraphFont"/>
    <w:link w:val="Heading7"/>
    <w:uiPriority w:val="9"/>
    <w:semiHidden/>
    <w:rsid w:val="00211F70"/>
    <w:rPr>
      <w:rFonts w:ascii="Calibri" w:eastAsia="Times New Roman" w:hAnsi="Calibri" w:cs="Times New Roman"/>
      <w:sz w:val="24"/>
      <w:szCs w:val="24"/>
      <w:lang w:val="en-GB"/>
    </w:rPr>
  </w:style>
  <w:style w:type="paragraph" w:styleId="FootnoteText">
    <w:name w:val="footnote text"/>
    <w:basedOn w:val="Normal"/>
    <w:link w:val="FootnoteTextChar"/>
    <w:unhideWhenUsed/>
    <w:rsid w:val="00211F70"/>
    <w:pPr>
      <w:spacing w:before="120" w:after="80" w:line="240" w:lineRule="auto"/>
      <w:ind w:left="720" w:hanging="720"/>
      <w:jc w:val="both"/>
    </w:pPr>
    <w:rPr>
      <w:rFonts w:ascii="Times New Roman" w:eastAsia="Calibri" w:hAnsi="Times New Roman" w:cs="Times New Roman"/>
      <w:sz w:val="20"/>
      <w:szCs w:val="20"/>
      <w:lang w:val="x-none" w:eastAsia="x-none"/>
    </w:rPr>
  </w:style>
  <w:style w:type="character" w:customStyle="1" w:styleId="FootnoteTextChar">
    <w:name w:val="Footnote Text Char"/>
    <w:basedOn w:val="DefaultParagraphFont"/>
    <w:link w:val="FootnoteText"/>
    <w:rsid w:val="00211F70"/>
    <w:rPr>
      <w:rFonts w:ascii="Times New Roman" w:eastAsia="Calibri" w:hAnsi="Times New Roman" w:cs="Times New Roman"/>
      <w:sz w:val="20"/>
      <w:szCs w:val="20"/>
      <w:lang w:val="x-none" w:eastAsia="x-none"/>
    </w:rPr>
  </w:style>
  <w:style w:type="paragraph" w:styleId="ListParagraph">
    <w:name w:val="List Paragraph"/>
    <w:aliases w:val="numbered list,2,OBC Bullet,Normal 1,Task Body,Viñetas (Inicio Parrafo),Paragrafo elenco,3 Txt tabla,Zerrenda-paragrafoa,Fiche List Paragraph,Dot pt,F5 List Paragraph,List Paragraph1,No Spacing1,List Paragraph Char Char Char,Indicator Text"/>
    <w:basedOn w:val="Normal"/>
    <w:link w:val="ListParagraphChar"/>
    <w:uiPriority w:val="34"/>
    <w:qFormat/>
    <w:rsid w:val="00211F70"/>
    <w:pPr>
      <w:spacing w:before="120" w:after="0" w:line="240" w:lineRule="auto"/>
      <w:ind w:left="720" w:hanging="720"/>
      <w:contextualSpacing/>
      <w:jc w:val="both"/>
    </w:pPr>
    <w:rPr>
      <w:rFonts w:ascii="Times New Roman" w:eastAsia="Calibri" w:hAnsi="Times New Roman" w:cs="Times New Roman"/>
      <w:sz w:val="24"/>
      <w:szCs w:val="20"/>
      <w:lang w:val="hr-HR" w:eastAsia="hr-HR" w:bidi="hr-HR"/>
    </w:rPr>
  </w:style>
  <w:style w:type="paragraph" w:customStyle="1" w:styleId="NumPar2">
    <w:name w:val="NumPar 2"/>
    <w:basedOn w:val="Normal"/>
    <w:next w:val="Normal"/>
    <w:rsid w:val="00211F70"/>
    <w:pPr>
      <w:tabs>
        <w:tab w:val="num" w:pos="360"/>
      </w:tabs>
      <w:spacing w:before="120" w:after="120" w:line="240" w:lineRule="auto"/>
      <w:ind w:left="360" w:hanging="360"/>
      <w:jc w:val="both"/>
    </w:pPr>
    <w:rPr>
      <w:rFonts w:ascii="Times New Roman" w:eastAsia="Times New Roman" w:hAnsi="Times New Roman" w:cs="Times New Roman"/>
      <w:sz w:val="24"/>
      <w:szCs w:val="24"/>
      <w:lang w:val="hr-HR" w:eastAsia="hr-HR" w:bidi="hr-HR"/>
    </w:rPr>
  </w:style>
  <w:style w:type="character" w:styleId="FootnoteReference">
    <w:name w:val="footnote reference"/>
    <w:aliases w:val="Footnote,Footnote symbol,Nota,Footnote number,de nota al pie,Ref,Char,SUPERS,Voetnootmarkering,Char1,fr,o,(NECG) Footnote Reference,Times 10 Point,Exposant 3 Point,Footnote Reference Number,Footnote reference number,FR, Char, Char1,F"/>
    <w:link w:val="SUPERSChar"/>
    <w:rsid w:val="00211F70"/>
    <w:rPr>
      <w:vertAlign w:val="superscript"/>
    </w:rPr>
  </w:style>
  <w:style w:type="paragraph" w:customStyle="1" w:styleId="SUPERSChar">
    <w:name w:val="SUPERS Char"/>
    <w:aliases w:val="EN Footnote Reference Char"/>
    <w:basedOn w:val="Normal"/>
    <w:link w:val="FootnoteReference"/>
    <w:rsid w:val="00211F70"/>
    <w:pPr>
      <w:spacing w:before="120" w:line="240" w:lineRule="exact"/>
      <w:ind w:left="720" w:hanging="720"/>
      <w:jc w:val="both"/>
    </w:pPr>
    <w:rPr>
      <w:vertAlign w:val="superscript"/>
    </w:rPr>
  </w:style>
  <w:style w:type="character" w:styleId="Hyperlink">
    <w:name w:val="Hyperlink"/>
    <w:uiPriority w:val="99"/>
    <w:rsid w:val="00211F70"/>
    <w:rPr>
      <w:color w:val="0000FF"/>
      <w:u w:val="single"/>
    </w:rPr>
  </w:style>
  <w:style w:type="paragraph" w:customStyle="1" w:styleId="Text1">
    <w:name w:val="Text 1"/>
    <w:basedOn w:val="Normal"/>
    <w:uiPriority w:val="99"/>
    <w:rsid w:val="00211F70"/>
    <w:pPr>
      <w:spacing w:before="120" w:after="240" w:line="240" w:lineRule="auto"/>
      <w:ind w:left="482" w:hanging="720"/>
      <w:jc w:val="both"/>
    </w:pPr>
    <w:rPr>
      <w:rFonts w:ascii="Times New Roman" w:eastAsia="Times New Roman" w:hAnsi="Times New Roman" w:cs="Times New Roman"/>
      <w:sz w:val="24"/>
      <w:szCs w:val="20"/>
      <w:lang w:val="hr-HR" w:eastAsia="hr-HR" w:bidi="hr-HR"/>
    </w:rPr>
  </w:style>
  <w:style w:type="table" w:styleId="TableGrid">
    <w:name w:val="Table Grid"/>
    <w:basedOn w:val="TableNormal"/>
    <w:uiPriority w:val="39"/>
    <w:rsid w:val="00211F70"/>
    <w:pPr>
      <w:spacing w:after="0" w:line="240" w:lineRule="auto"/>
    </w:pPr>
    <w:rPr>
      <w:rFonts w:ascii="Times New Roman" w:eastAsia="Calibri" w:hAnsi="Times New Roman" w:cs="Times New Roman"/>
      <w:sz w:val="20"/>
      <w:szCs w:val="20"/>
      <w:lang w:val="hr-HR" w:eastAsia="hr-HR" w:bidi="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 list Char,2 Char,OBC Bullet Char,Normal 1 Char,Task Body Char,Viñetas (Inicio Parrafo) Char,Paragrafo elenco Char,3 Txt tabla Char,Zerrenda-paragrafoa Char,Fiche List Paragraph Char,Dot pt Char,F5 List Paragraph Char"/>
    <w:link w:val="ListParagraph"/>
    <w:uiPriority w:val="34"/>
    <w:qFormat/>
    <w:locked/>
    <w:rsid w:val="00211F70"/>
    <w:rPr>
      <w:rFonts w:ascii="Times New Roman" w:eastAsia="Calibri" w:hAnsi="Times New Roman" w:cs="Times New Roman"/>
      <w:sz w:val="24"/>
      <w:szCs w:val="20"/>
      <w:lang w:val="hr-HR" w:eastAsia="hr-HR" w:bidi="hr-HR"/>
    </w:rPr>
  </w:style>
  <w:style w:type="paragraph" w:customStyle="1" w:styleId="NumPar1">
    <w:name w:val="NumPar 1"/>
    <w:basedOn w:val="Normal"/>
    <w:next w:val="Normal"/>
    <w:rsid w:val="00211F70"/>
    <w:pPr>
      <w:tabs>
        <w:tab w:val="num" w:pos="2625"/>
      </w:tabs>
      <w:spacing w:before="120" w:after="120" w:line="240" w:lineRule="auto"/>
      <w:ind w:left="2625" w:hanging="709"/>
      <w:jc w:val="both"/>
    </w:pPr>
    <w:rPr>
      <w:rFonts w:ascii="Times New Roman" w:eastAsia="Calibri" w:hAnsi="Times New Roman" w:cs="Times New Roman"/>
      <w:sz w:val="24"/>
      <w:lang w:val="en-GB"/>
    </w:rPr>
  </w:style>
  <w:style w:type="paragraph" w:customStyle="1" w:styleId="Stylei">
    <w:name w:val="Style (i)"/>
    <w:basedOn w:val="Normal"/>
    <w:qFormat/>
    <w:rsid w:val="00211F70"/>
    <w:pPr>
      <w:numPr>
        <w:numId w:val="2"/>
      </w:numPr>
      <w:spacing w:before="120" w:after="120" w:line="240" w:lineRule="auto"/>
      <w:jc w:val="both"/>
    </w:pPr>
    <w:rPr>
      <w:rFonts w:ascii="Times New Roman" w:eastAsia="Calibri" w:hAnsi="Times New Roman" w:cs="Times New Roman"/>
      <w:sz w:val="24"/>
      <w:lang w:val="hr-HR"/>
    </w:rPr>
  </w:style>
  <w:style w:type="character" w:customStyle="1" w:styleId="oj-italic">
    <w:name w:val="oj-italic"/>
    <w:rsid w:val="00211F70"/>
  </w:style>
  <w:style w:type="paragraph" w:customStyle="1" w:styleId="Point1number">
    <w:name w:val="Point 1 (number)"/>
    <w:basedOn w:val="Normal"/>
    <w:rsid w:val="00211F70"/>
    <w:pPr>
      <w:numPr>
        <w:ilvl w:val="2"/>
        <w:numId w:val="3"/>
      </w:numPr>
      <w:spacing w:before="120" w:after="120" w:line="240" w:lineRule="auto"/>
      <w:jc w:val="both"/>
    </w:pPr>
    <w:rPr>
      <w:rFonts w:ascii="Times New Roman" w:hAnsi="Times New Roman" w:cs="Times New Roman"/>
      <w:sz w:val="24"/>
      <w:lang w:val="hr-HR"/>
    </w:rPr>
  </w:style>
  <w:style w:type="paragraph" w:customStyle="1" w:styleId="Point2number">
    <w:name w:val="Point 2 (number)"/>
    <w:basedOn w:val="Normal"/>
    <w:rsid w:val="00211F70"/>
    <w:pPr>
      <w:numPr>
        <w:ilvl w:val="4"/>
        <w:numId w:val="3"/>
      </w:numPr>
      <w:spacing w:before="120" w:after="120" w:line="240" w:lineRule="auto"/>
      <w:jc w:val="both"/>
    </w:pPr>
    <w:rPr>
      <w:rFonts w:ascii="Times New Roman" w:hAnsi="Times New Roman" w:cs="Times New Roman"/>
      <w:sz w:val="24"/>
      <w:lang w:val="hr-HR"/>
    </w:rPr>
  </w:style>
  <w:style w:type="paragraph" w:customStyle="1" w:styleId="Point3number">
    <w:name w:val="Point 3 (number)"/>
    <w:basedOn w:val="Normal"/>
    <w:rsid w:val="00211F70"/>
    <w:pPr>
      <w:numPr>
        <w:ilvl w:val="6"/>
        <w:numId w:val="3"/>
      </w:numPr>
      <w:spacing w:before="120" w:after="120" w:line="240" w:lineRule="auto"/>
      <w:jc w:val="both"/>
    </w:pPr>
    <w:rPr>
      <w:rFonts w:ascii="Times New Roman" w:hAnsi="Times New Roman" w:cs="Times New Roman"/>
      <w:sz w:val="24"/>
      <w:lang w:val="hr-HR"/>
    </w:rPr>
  </w:style>
  <w:style w:type="paragraph" w:customStyle="1" w:styleId="Point0letter">
    <w:name w:val="Point 0 (letter)"/>
    <w:basedOn w:val="Normal"/>
    <w:rsid w:val="00211F70"/>
    <w:pPr>
      <w:spacing w:before="120" w:after="120" w:line="240" w:lineRule="auto"/>
      <w:jc w:val="both"/>
    </w:pPr>
    <w:rPr>
      <w:rFonts w:ascii="Times New Roman" w:hAnsi="Times New Roman" w:cs="Times New Roman"/>
      <w:sz w:val="24"/>
      <w:lang w:val="hr-HR"/>
    </w:rPr>
  </w:style>
  <w:style w:type="paragraph" w:customStyle="1" w:styleId="Point1letter">
    <w:name w:val="Point 1 (letter)"/>
    <w:basedOn w:val="Normal"/>
    <w:rsid w:val="00211F70"/>
    <w:pPr>
      <w:numPr>
        <w:ilvl w:val="3"/>
        <w:numId w:val="3"/>
      </w:numPr>
      <w:spacing w:before="120" w:after="120" w:line="240" w:lineRule="auto"/>
      <w:jc w:val="both"/>
    </w:pPr>
    <w:rPr>
      <w:rFonts w:ascii="Times New Roman" w:hAnsi="Times New Roman" w:cs="Times New Roman"/>
      <w:sz w:val="24"/>
      <w:lang w:val="hr-HR"/>
    </w:rPr>
  </w:style>
  <w:style w:type="paragraph" w:customStyle="1" w:styleId="Point2letter">
    <w:name w:val="Point 2 (letter)"/>
    <w:basedOn w:val="Normal"/>
    <w:rsid w:val="00211F70"/>
    <w:pPr>
      <w:numPr>
        <w:ilvl w:val="5"/>
        <w:numId w:val="3"/>
      </w:numPr>
      <w:spacing w:before="120" w:after="120" w:line="240" w:lineRule="auto"/>
      <w:jc w:val="both"/>
    </w:pPr>
    <w:rPr>
      <w:rFonts w:ascii="Times New Roman" w:hAnsi="Times New Roman" w:cs="Times New Roman"/>
      <w:sz w:val="24"/>
      <w:lang w:val="hr-HR"/>
    </w:rPr>
  </w:style>
  <w:style w:type="paragraph" w:customStyle="1" w:styleId="Point3letter">
    <w:name w:val="Point 3 (letter)"/>
    <w:basedOn w:val="Normal"/>
    <w:rsid w:val="00211F70"/>
    <w:pPr>
      <w:numPr>
        <w:ilvl w:val="7"/>
        <w:numId w:val="3"/>
      </w:numPr>
      <w:spacing w:before="120" w:after="120" w:line="240" w:lineRule="auto"/>
      <w:jc w:val="both"/>
    </w:pPr>
    <w:rPr>
      <w:rFonts w:ascii="Times New Roman" w:hAnsi="Times New Roman" w:cs="Times New Roman"/>
      <w:sz w:val="24"/>
      <w:lang w:val="hr-HR"/>
    </w:rPr>
  </w:style>
  <w:style w:type="paragraph" w:customStyle="1" w:styleId="Point4letter">
    <w:name w:val="Point 4 (letter)"/>
    <w:basedOn w:val="Normal"/>
    <w:rsid w:val="00211F70"/>
    <w:pPr>
      <w:numPr>
        <w:ilvl w:val="8"/>
        <w:numId w:val="3"/>
      </w:numPr>
      <w:spacing w:before="120" w:after="120" w:line="240" w:lineRule="auto"/>
      <w:jc w:val="both"/>
    </w:pPr>
    <w:rPr>
      <w:rFonts w:ascii="Times New Roman" w:hAnsi="Times New Roman" w:cs="Times New Roman"/>
      <w:sz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competition-policy.ec.europa.eu/state-aid/legislation/forms-notifications-and-reporting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5631</Words>
  <Characters>32098</Characters>
  <Application>Microsoft Office Word</Application>
  <DocSecurity>0</DocSecurity>
  <Lines>267</Lines>
  <Paragraphs>75</Paragraphs>
  <ScaleCrop>false</ScaleCrop>
  <Company/>
  <LinksUpToDate>false</LinksUpToDate>
  <CharactersWithSpaces>37654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Ivovic</dc:creator>
  <cp:keywords/>
  <dc:description/>
  <cp:lastModifiedBy>Suzana Ivovic</cp:lastModifiedBy>
  <cp:revision>2</cp:revision>
  <dcterms:created xsi:type="dcterms:W3CDTF">2026-03-26T12:21:00Z</dcterms:created>
  <dcterms:modified xsi:type="dcterms:W3CDTF">2026-03-26T12:24:00Z</dcterms:modified>
</cp:coreProperties>
</file>