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D5C25" w14:textId="77777777" w:rsidR="007E3E05" w:rsidRPr="0086255B" w:rsidRDefault="007E3E05" w:rsidP="007E3E05">
      <w:pPr>
        <w:tabs>
          <w:tab w:val="left" w:leader="dot" w:pos="9072"/>
        </w:tabs>
        <w:spacing w:before="120" w:after="120"/>
        <w:jc w:val="both"/>
        <w:rPr>
          <w:rFonts w:cstheme="minorHAnsi"/>
          <w:b/>
          <w:noProof/>
        </w:rPr>
      </w:pPr>
      <w:r w:rsidRPr="0086255B">
        <w:rPr>
          <w:rFonts w:cstheme="minorHAnsi"/>
          <w:b/>
          <w:noProof/>
        </w:rPr>
        <w:t>Obrazac 7k – Obrazac o dodatnim podacima za državnu pomoć dodijeljenu na osnovu Smjernica o državnoj pomoći za klimu, zaštitu životne sredine i energiju za 2022.  (u daljem tekstu „CEEAG”) - Odjeljak 4.9. – Pomoć za energetsku infrastrukturu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7E3E05" w:rsidRPr="0086255B" w14:paraId="66B2E2E5" w14:textId="77777777" w:rsidTr="00D507D9">
        <w:trPr>
          <w:trHeight w:val="1134"/>
        </w:trPr>
        <w:tc>
          <w:tcPr>
            <w:tcW w:w="5000" w:type="pct"/>
            <w:shd w:val="pct15" w:color="auto" w:fill="auto"/>
          </w:tcPr>
          <w:p w14:paraId="3964AFA3" w14:textId="77777777" w:rsidR="007E3E05" w:rsidRPr="0086255B" w:rsidRDefault="007E3E05"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III.6.K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4.9.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energetsku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infrastrukturu</w:t>
            </w:r>
            <w:proofErr w:type="spellEnd"/>
          </w:p>
        </w:tc>
      </w:tr>
    </w:tbl>
    <w:p w14:paraId="77B74D7F" w14:textId="77777777" w:rsidR="007E3E05" w:rsidRPr="0086255B" w:rsidRDefault="007E3E05" w:rsidP="007E3E05">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4.9. CEEAG-a. Ako prijava uključuje mjere na koje se odnosi više odjeljaka CEEAG-a, nakon što postanu dostupni ispunite i odgovarajući obrazac o dodatnim podacima koji se odnosi na odgovarajuće odjeljke CEEAG-a. </w:t>
      </w:r>
    </w:p>
    <w:p w14:paraId="4E24E6F7" w14:textId="77777777" w:rsidR="007E3E05" w:rsidRPr="0086255B" w:rsidRDefault="007E3E05" w:rsidP="007E3E05">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7E3E05" w:rsidRPr="0086255B" w14:paraId="14FA1B8B" w14:textId="77777777" w:rsidTr="00D507D9">
        <w:tc>
          <w:tcPr>
            <w:tcW w:w="5000" w:type="pct"/>
            <w:shd w:val="pct15" w:color="auto" w:fill="auto"/>
          </w:tcPr>
          <w:p w14:paraId="78BD65DF" w14:textId="77777777" w:rsidR="007E3E05" w:rsidRPr="0086255B" w:rsidRDefault="007E3E05"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59FF5CF7"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Kontekst i ciljevi prijavljenih mjera</w:t>
      </w:r>
    </w:p>
    <w:p w14:paraId="349E55C9"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to već nije objašnjeno u odjeljku 5.2. obrasca o opštim podacima (dio I), navedite kontekst i glavni cilj, uključujući ciljeve Unije za smanjenje emisija iz saobraćaja koje se mjerom namjerava podržati. </w:t>
      </w:r>
    </w:p>
    <w:p w14:paraId="394DC2A2"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773086AF"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sve druge ciljeve koji se nastoje postići mjerom. Ako je riječ o ciljevima koji nisu isključivo ekološki, objasnite da li oni mogu dovesti do narušavanja konkurencije na unutrašnjem tržištu. </w:t>
      </w:r>
    </w:p>
    <w:p w14:paraId="1BABCC81"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28D13E1E"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7E48C2C9"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odjeljku 5.4. obrasca o opštim podacima (dio I), navedite datum na koji bi šema pomoći trebalo da stupi na snagu.</w:t>
      </w:r>
    </w:p>
    <w:p w14:paraId="48659A92"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7CE7AF1F"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se mjera odnosi na šemu pomoći, navedite njeno trajanje.</w:t>
      </w:r>
      <w:r w:rsidRPr="0086255B">
        <w:rPr>
          <w:rStyle w:val="FootnoteReference"/>
          <w:rFonts w:asciiTheme="minorHAnsi" w:hAnsiTheme="minorHAnsi" w:cstheme="minorHAnsi"/>
          <w:noProof/>
          <w:sz w:val="22"/>
          <w:szCs w:val="22"/>
        </w:rPr>
        <w:footnoteReference w:id="1"/>
      </w:r>
    </w:p>
    <w:p w14:paraId="5F364187"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3F7CCF41"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3227CA14"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nisu opisani u odjeljku 3 obrasca o opštim podacima (dio I), opišite (potencijalne) korisnike mjera.</w:t>
      </w:r>
    </w:p>
    <w:p w14:paraId="3B803676"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0B61480"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lokaciju (potencijalnih) korisnika (tj. da li su za učestvovanje u mjeri prihvatljivi samo privredni subjekti koji se nalaze u predmetnoj državi članici ili i oni iz drugih država članica).</w:t>
      </w:r>
    </w:p>
    <w:p w14:paraId="243D3EDB"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lastRenderedPageBreak/>
        <w:tab/>
      </w:r>
    </w:p>
    <w:p w14:paraId="5CA10E8E"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29B843DD" w14:textId="77777777" w:rsidR="007E3E05" w:rsidRPr="0086255B" w:rsidRDefault="007E3E05" w:rsidP="007E3E05">
      <w:pPr>
        <w:spacing w:before="120" w:after="120"/>
        <w:jc w:val="both"/>
        <w:rPr>
          <w:rFonts w:cstheme="minorHAnsi"/>
        </w:rPr>
      </w:pPr>
    </w:p>
    <w:p w14:paraId="1D104CCE" w14:textId="77777777" w:rsidR="007E3E05" w:rsidRPr="0086255B" w:rsidRDefault="007E3E05" w:rsidP="007E3E05">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155F344F"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00667A64"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Potvrdite da mjera ne uključuje pomoć za djelatnosti koje nisu obuhvaćene područjem primjene CEEAG-a (vidjeti tačku 13 CEEAG-a). U suprotnom navedite pojedinosti.</w:t>
      </w:r>
    </w:p>
    <w:p w14:paraId="767210F0"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w:t>
      </w:r>
    </w:p>
    <w:p w14:paraId="1100B363" w14:textId="77777777" w:rsidR="007E3E05" w:rsidRPr="0086255B" w:rsidRDefault="007E3E05" w:rsidP="007E3E05">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U skladu sa tačkama 373 i 374 CEEAG-a „pomoć energetskoj infrastrukturi u okviru pravnog monopola ne podliježe pravilima o državnoj pomoći”.</w:t>
      </w:r>
      <w:r w:rsidRPr="0086255B">
        <w:rPr>
          <w:rFonts w:asciiTheme="minorHAnsi" w:hAnsiTheme="minorHAnsi" w:cstheme="minorHAnsi"/>
          <w:i/>
          <w:noProof/>
          <w:sz w:val="22"/>
          <w:szCs w:val="22"/>
        </w:rPr>
        <w:t xml:space="preserve"> </w:t>
      </w:r>
      <w:r w:rsidRPr="0086255B">
        <w:rPr>
          <w:rFonts w:asciiTheme="minorHAnsi" w:hAnsiTheme="minorHAnsi" w:cstheme="minorHAnsi"/>
          <w:noProof/>
          <w:sz w:val="22"/>
          <w:szCs w:val="22"/>
        </w:rPr>
        <w:t xml:space="preserve">To bi bio slučaj kad su izgradnja i rad određenih infrastruktura zakonom isključivo rezervisani za operatora prenosnog sistema ili operatora distributivnog sistema. Slično tome, u tački 375 CEEAG-a navodi se da „Komisija smatra da državna pomoć nije uključena u ulaganja ako se energetskom infrastrukturom upravlja kao „prirodnim monopolom“. </w:t>
      </w:r>
    </w:p>
    <w:p w14:paraId="62EEA9EA" w14:textId="77777777" w:rsidR="007E3E05" w:rsidRPr="0086255B" w:rsidRDefault="007E3E05" w:rsidP="007E3E05">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 xml:space="preserve">Da li je projekt prijavljen u okviru pravnog monopola; da li se projekat sprovodi u okviru prirodnog monopola? </w:t>
      </w:r>
    </w:p>
    <w:p w14:paraId="78F964C0" w14:textId="77777777" w:rsidR="007E3E05" w:rsidRPr="0086255B" w:rsidRDefault="007E3E05" w:rsidP="007E3E05">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129B056D"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je odgovor na prethodno pitanje potvrdan, objasnite zašto je prijavljeni projekat obuhvaćen pravnim i/ili prirodnim monopolom, uz upućivanje na sve kumulativne kriterijume iz tačke 374. CEEAG-a za pravne monopole i/ili tačke 375. CEEAG-a za prirodne monopole. </w:t>
      </w:r>
    </w:p>
    <w:p w14:paraId="602BDAD2" w14:textId="77777777" w:rsidR="007E3E05" w:rsidRPr="0086255B" w:rsidRDefault="007E3E05" w:rsidP="007E3E05">
      <w:pPr>
        <w:spacing w:before="120" w:after="120"/>
        <w:jc w:val="both"/>
        <w:rPr>
          <w:rFonts w:cstheme="minorHAnsi"/>
        </w:rPr>
      </w:pPr>
      <w:r w:rsidRPr="0086255B">
        <w:rPr>
          <w:rFonts w:cstheme="minorHAnsi"/>
        </w:rPr>
        <w:t>..................................................................................................................................................................</w:t>
      </w:r>
    </w:p>
    <w:p w14:paraId="0D769B49"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1A2FEFB3"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3C0B7800"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1F0766E7" w14:textId="77777777" w:rsidR="007E3E05" w:rsidRPr="0086255B" w:rsidRDefault="007E3E05" w:rsidP="007E3E05">
      <w:pPr>
        <w:pStyle w:val="NumPar2"/>
        <w:numPr>
          <w:ilvl w:val="1"/>
          <w:numId w:val="6"/>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 xml:space="preserve"> Ako se mjera finansira iz nameta, pojasnite:</w:t>
      </w:r>
    </w:p>
    <w:p w14:paraId="7A0369A8" w14:textId="77777777" w:rsidR="007E3E05" w:rsidRPr="0086255B" w:rsidRDefault="007E3E05" w:rsidP="007E3E05">
      <w:pPr>
        <w:pStyle w:val="Point1letter"/>
        <w:numPr>
          <w:ilvl w:val="3"/>
          <w:numId w:val="7"/>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6FF945A5"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8F1AF45" w14:textId="77777777" w:rsidR="007E3E05" w:rsidRPr="0086255B" w:rsidRDefault="007E3E05" w:rsidP="007E3E05">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7ADDCC4B"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lastRenderedPageBreak/>
        <w:tab/>
      </w:r>
    </w:p>
    <w:p w14:paraId="29F35E78" w14:textId="77777777" w:rsidR="007E3E05" w:rsidRPr="0086255B" w:rsidRDefault="007E3E05" w:rsidP="007E3E05">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787BF9EE"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7302595" w14:textId="77777777" w:rsidR="007E3E05" w:rsidRPr="0086255B" w:rsidRDefault="007E3E05" w:rsidP="007E3E05">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1D1EA45D"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3B945874" w14:textId="77777777" w:rsidR="007E3E05" w:rsidRPr="0086255B" w:rsidRDefault="007E3E05" w:rsidP="007E3E05">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mere pomoći; ako da, navedite koje.</w:t>
      </w:r>
    </w:p>
    <w:p w14:paraId="45123DB8" w14:textId="77777777" w:rsidR="007E3E05" w:rsidRPr="0086255B" w:rsidRDefault="007E3E05" w:rsidP="007E3E05">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7E3E05" w:rsidRPr="0086255B" w14:paraId="308671BC" w14:textId="77777777" w:rsidTr="00D507D9">
        <w:tc>
          <w:tcPr>
            <w:tcW w:w="5000" w:type="pct"/>
            <w:shd w:val="pct15" w:color="auto" w:fill="auto"/>
          </w:tcPr>
          <w:p w14:paraId="67D6A50A" w14:textId="77777777" w:rsidR="007E3E05" w:rsidRPr="0086255B" w:rsidRDefault="007E3E05"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30C611DD" w14:textId="77777777" w:rsidR="007E3E05" w:rsidRPr="0086255B" w:rsidRDefault="007E3E05" w:rsidP="007E3E05">
      <w:pPr>
        <w:pStyle w:val="Heading1"/>
        <w:keepNext/>
        <w:numPr>
          <w:ilvl w:val="0"/>
          <w:numId w:val="8"/>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Pozitivan uslov: pomoć mora da olakšava razvoj ekonomske djelatnosti</w:t>
      </w:r>
    </w:p>
    <w:p w14:paraId="39A81996" w14:textId="77777777" w:rsidR="007E3E05" w:rsidRPr="0086255B" w:rsidRDefault="007E3E05" w:rsidP="007E3E05">
      <w:pPr>
        <w:pStyle w:val="Heading2"/>
        <w:keepLines w:val="0"/>
        <w:numPr>
          <w:ilvl w:val="1"/>
          <w:numId w:val="8"/>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Doprinos razvoju ekonomske djelatnosti</w:t>
      </w:r>
    </w:p>
    <w:p w14:paraId="00EA6238" w14:textId="77777777" w:rsidR="007E3E05" w:rsidRPr="0086255B" w:rsidRDefault="007E3E05" w:rsidP="007E3E05">
      <w:pPr>
        <w:spacing w:before="120" w:after="120"/>
        <w:jc w:val="both"/>
        <w:rPr>
          <w:rFonts w:cstheme="minorHAnsi"/>
          <w:i/>
          <w:noProof/>
        </w:rPr>
      </w:pPr>
      <w:r w:rsidRPr="0086255B">
        <w:rPr>
          <w:rFonts w:cstheme="minorHAnsi"/>
          <w:i/>
          <w:noProof/>
        </w:rPr>
        <w:t xml:space="preserve">Za unos podataka u ovom odjeljku vidjeti odjeljke 3.1.1. (tačke od 23 do 25) i odjeljke 4.9.1. i 4.9.2. CEEAG-a. </w:t>
      </w:r>
    </w:p>
    <w:p w14:paraId="3AC69FD6"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funkcionisanju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70EEB5FF" w14:textId="77777777" w:rsidR="007E3E05" w:rsidRPr="0086255B" w:rsidRDefault="007E3E05" w:rsidP="007E3E05">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w:t>
      </w:r>
    </w:p>
    <w:p w14:paraId="10C8FA77"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093D6068"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12A8199A"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55EAD5AD"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371 i 372 CEEAG-a.</w:t>
      </w:r>
    </w:p>
    <w:p w14:paraId="2D14388C"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7BCA1F82"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području primjene i djelatnostima koje su podržane iz mjera pomoći, kako je navedeno u tački 376 CEEAG-a. Pritom takođe:</w:t>
      </w:r>
    </w:p>
    <w:p w14:paraId="1427B777" w14:textId="77777777" w:rsidR="007E3E05" w:rsidRPr="0086255B" w:rsidRDefault="007E3E05" w:rsidP="007E3E05">
      <w:pPr>
        <w:pStyle w:val="ListParagraph"/>
        <w:numPr>
          <w:ilvl w:val="0"/>
          <w:numId w:val="3"/>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 xml:space="preserve">osigurajte da se projekat odnosi na energetsku infrastrukturu kako je definisana u tački 19 podtačka 36 CEEAG-a; </w:t>
      </w:r>
    </w:p>
    <w:p w14:paraId="52B5FFCF" w14:textId="77777777" w:rsidR="007E3E05" w:rsidRPr="0086255B" w:rsidRDefault="007E3E05" w:rsidP="007E3E05">
      <w:pPr>
        <w:pStyle w:val="ListParagraph"/>
        <w:numPr>
          <w:ilvl w:val="0"/>
          <w:numId w:val="3"/>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osigurajte da projekat ne obuhvata namjensku infrastrukturu i/ili drugu energetsku infrastrukturu u kombinaciji sa djelatnostima proizvodnje i/ili potrošnje;</w:t>
      </w:r>
    </w:p>
    <w:p w14:paraId="2B238F27" w14:textId="77777777" w:rsidR="007E3E05" w:rsidRPr="0086255B" w:rsidRDefault="007E3E05" w:rsidP="007E3E05">
      <w:pPr>
        <w:pStyle w:val="ListParagraph"/>
        <w:numPr>
          <w:ilvl w:val="0"/>
          <w:numId w:val="3"/>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vrstu troškova koji će se finansirati mjerom: troškovi ulaganja ili operativni troškovi; </w:t>
      </w:r>
    </w:p>
    <w:p w14:paraId="0E3794AD" w14:textId="77777777" w:rsidR="007E3E05" w:rsidRPr="0086255B" w:rsidRDefault="007E3E05" w:rsidP="007E3E05">
      <w:pPr>
        <w:pStyle w:val="ListParagraph"/>
        <w:numPr>
          <w:ilvl w:val="0"/>
          <w:numId w:val="3"/>
        </w:numPr>
        <w:tabs>
          <w:tab w:val="left" w:leader="dot" w:pos="9072"/>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ako će se mjerom pokriti operativni troškovi, dokažite da se ti troškovi ne mogu nadoknaditi od korisnika mreže i da nisu povezani sa nepovratnim troškovima kao i da operativna pomoć dovodi do promjene u ponašanju koja omogućuje postizanje ciljeva sigurnosti snabdijevanja ili zaštite životne sredine.</w:t>
      </w:r>
    </w:p>
    <w:p w14:paraId="054F6B98"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w:t>
      </w:r>
    </w:p>
    <w:p w14:paraId="52DF6947" w14:textId="77777777" w:rsidR="007E3E05" w:rsidRPr="0086255B" w:rsidRDefault="007E3E05" w:rsidP="007E3E05">
      <w:pPr>
        <w:pStyle w:val="Heading2"/>
        <w:keepLines w:val="0"/>
        <w:numPr>
          <w:ilvl w:val="1"/>
          <w:numId w:val="8"/>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Podsticajni efekat</w:t>
      </w:r>
    </w:p>
    <w:p w14:paraId="5FD6B86F" w14:textId="77777777" w:rsidR="007E3E05" w:rsidRPr="0086255B" w:rsidRDefault="007E3E05" w:rsidP="007E3E05">
      <w:pPr>
        <w:spacing w:before="120" w:after="120"/>
        <w:jc w:val="both"/>
        <w:rPr>
          <w:rFonts w:cstheme="minorHAnsi"/>
          <w:i/>
          <w:noProof/>
        </w:rPr>
      </w:pPr>
      <w:r w:rsidRPr="0086255B">
        <w:rPr>
          <w:rFonts w:cstheme="minorHAnsi"/>
          <w:i/>
          <w:noProof/>
        </w:rPr>
        <w:t xml:space="preserve">Za unos podataka u ovom odjeljku vidjeti odjeljak 3.1.2. (tačke od 26 do 32) CEEAG-a. </w:t>
      </w:r>
    </w:p>
    <w:p w14:paraId="4B6E6CE4"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66543640"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7B223C5"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27 CEEAG-a, navedite podatke koji potvrđuju da pomoć ne pokriva troškove djelatnosti koju bi korisnik pomoći ionako obavljao i da se njom ne nadoknađuju uobičajeni poslovni rizici ekonomske djelatnosti.</w:t>
      </w:r>
      <w:r w:rsidRPr="0086255B">
        <w:rPr>
          <w:rStyle w:val="FootnoteReference"/>
          <w:rFonts w:asciiTheme="minorHAnsi" w:hAnsiTheme="minorHAnsi" w:cstheme="minorHAnsi"/>
          <w:noProof/>
          <w:sz w:val="22"/>
        </w:rPr>
        <w:footnoteReference w:id="3"/>
      </w:r>
    </w:p>
    <w:p w14:paraId="18131356"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2ED98AC2"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dokazao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podsticajni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efekat</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tački</w:t>
      </w:r>
      <w:proofErr w:type="spellEnd"/>
      <w:r w:rsidRPr="0086255B">
        <w:rPr>
          <w:rFonts w:asciiTheme="minorHAnsi" w:hAnsiTheme="minorHAnsi" w:cstheme="minorHAnsi"/>
          <w:sz w:val="22"/>
        </w:rPr>
        <w:t xml:space="preserve"> 28 CEEAG-a </w:t>
      </w:r>
      <w:proofErr w:type="spellStart"/>
      <w:r w:rsidRPr="0086255B">
        <w:rPr>
          <w:rFonts w:asciiTheme="minorHAnsi" w:hAnsiTheme="minorHAnsi" w:cstheme="minorHAnsi"/>
          <w:sz w:val="22"/>
        </w:rPr>
        <w:t>zahtijeva</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utvrđivanje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činjeničnog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scenarija</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vjerovatnog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uporednog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scenarija</w:t>
      </w:r>
      <w:proofErr w:type="spellEnd"/>
      <w:r w:rsidRPr="0086255B">
        <w:rPr>
          <w:rFonts w:asciiTheme="minorHAnsi" w:hAnsiTheme="minorHAnsi" w:cstheme="minorHAnsi"/>
          <w:sz w:val="22"/>
        </w:rPr>
        <w:t xml:space="preserve"> bez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Kada</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riječ</w:t>
      </w:r>
      <w:proofErr w:type="spellEnd"/>
      <w:r w:rsidRPr="0086255B">
        <w:rPr>
          <w:rFonts w:asciiTheme="minorHAnsi" w:hAnsiTheme="minorHAnsi" w:cstheme="minorHAnsi"/>
          <w:sz w:val="22"/>
        </w:rPr>
        <w:t xml:space="preserve"> o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energetsku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infrastrukturu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što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objašnjeno</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tački</w:t>
      </w:r>
      <w:proofErr w:type="spellEnd"/>
      <w:r w:rsidRPr="0086255B">
        <w:rPr>
          <w:rFonts w:asciiTheme="minorHAnsi" w:hAnsiTheme="minorHAnsi" w:cstheme="minorHAnsi"/>
          <w:sz w:val="22"/>
        </w:rPr>
        <w:t xml:space="preserve"> 52, </w:t>
      </w:r>
      <w:proofErr w:type="spellStart"/>
      <w:r w:rsidRPr="0086255B">
        <w:rPr>
          <w:rFonts w:asciiTheme="minorHAnsi" w:hAnsiTheme="minorHAnsi" w:cstheme="minorHAnsi"/>
          <w:sz w:val="22"/>
        </w:rPr>
        <w:t>pretpostavlja</w:t>
      </w:r>
      <w:proofErr w:type="spellEnd"/>
      <w:r w:rsidRPr="0086255B">
        <w:rPr>
          <w:rFonts w:asciiTheme="minorHAnsi" w:hAnsiTheme="minorHAnsi" w:cstheme="minorHAnsi"/>
          <w:sz w:val="22"/>
        </w:rPr>
        <w:t xml:space="preserve"> se da je </w:t>
      </w:r>
      <w:proofErr w:type="spellStart"/>
      <w:r w:rsidRPr="0086255B">
        <w:rPr>
          <w:rFonts w:asciiTheme="minorHAnsi" w:hAnsiTheme="minorHAnsi" w:cstheme="minorHAnsi"/>
          <w:sz w:val="22"/>
        </w:rPr>
        <w:t>uporedni</w:t>
      </w:r>
      <w:proofErr w:type="spellEnd"/>
      <w:r w:rsidRPr="0086255B">
        <w:rPr>
          <w:rFonts w:asciiTheme="minorHAnsi" w:hAnsiTheme="minorHAnsi" w:cstheme="minorHAnsi"/>
          <w:sz w:val="22"/>
        </w:rPr>
        <w:t xml:space="preserve"> scenario </w:t>
      </w:r>
      <w:proofErr w:type="spellStart"/>
      <w:r w:rsidRPr="0086255B">
        <w:rPr>
          <w:rFonts w:asciiTheme="minorHAnsi" w:hAnsiTheme="minorHAnsi" w:cstheme="minorHAnsi"/>
          <w:sz w:val="22"/>
        </w:rPr>
        <w:t>situacija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kojoj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projekat</w:t>
      </w:r>
      <w:proofErr w:type="spellEnd"/>
      <w:r w:rsidRPr="0086255B">
        <w:rPr>
          <w:rFonts w:asciiTheme="minorHAnsi" w:hAnsiTheme="minorHAnsi" w:cstheme="minorHAnsi"/>
          <w:sz w:val="22"/>
        </w:rPr>
        <w:t xml:space="preserve"> ne bi bio </w:t>
      </w:r>
      <w:proofErr w:type="spellStart"/>
      <w:r w:rsidRPr="0086255B">
        <w:rPr>
          <w:rFonts w:asciiTheme="minorHAnsi" w:hAnsiTheme="minorHAnsi" w:cstheme="minorHAnsi"/>
          <w:sz w:val="22"/>
        </w:rPr>
        <w:t>realizovan</w:t>
      </w:r>
      <w:proofErr w:type="spellEnd"/>
      <w:r w:rsidRPr="0086255B">
        <w:rPr>
          <w:rFonts w:asciiTheme="minorHAnsi" w:hAnsiTheme="minorHAnsi" w:cstheme="minorHAnsi"/>
          <w:sz w:val="22"/>
        </w:rPr>
        <w:t>.</w:t>
      </w:r>
    </w:p>
    <w:p w14:paraId="6AACF703" w14:textId="77777777" w:rsidR="007E3E05" w:rsidRPr="0086255B" w:rsidRDefault="007E3E05" w:rsidP="007E3E05">
      <w:pPr>
        <w:pStyle w:val="Point2letter"/>
        <w:ind w:left="720" w:hanging="360"/>
        <w:rPr>
          <w:rFonts w:asciiTheme="minorHAnsi" w:hAnsiTheme="minorHAnsi" w:cstheme="minorHAnsi"/>
          <w:sz w:val="22"/>
        </w:rPr>
      </w:pPr>
      <w:r w:rsidRPr="0086255B">
        <w:rPr>
          <w:rFonts w:asciiTheme="minorHAnsi" w:hAnsiTheme="minorHAnsi" w:cstheme="minorHAnsi"/>
          <w:sz w:val="22"/>
        </w:rPr>
        <w:t>Detaljno opišite činjenični scenario. U slučaju šema koje obuhvataju različite referentne projekte</w:t>
      </w:r>
      <w:r w:rsidRPr="0086255B">
        <w:rPr>
          <w:rStyle w:val="FootnoteReference"/>
          <w:rFonts w:asciiTheme="minorHAnsi" w:hAnsiTheme="minorHAnsi" w:cstheme="minorHAnsi"/>
          <w:sz w:val="22"/>
        </w:rPr>
        <w:footnoteReference w:id="4"/>
      </w:r>
      <w:r w:rsidRPr="0086255B">
        <w:rPr>
          <w:rFonts w:asciiTheme="minorHAnsi" w:hAnsiTheme="minorHAnsi" w:cstheme="minorHAnsi"/>
          <w:sz w:val="22"/>
        </w:rPr>
        <w:t>, dostavite opis činjeničnog scenarija za svaki referentni projekat.</w:t>
      </w:r>
    </w:p>
    <w:p w14:paraId="088D1352"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272AF37A" w14:textId="77777777" w:rsidR="007E3E05" w:rsidRPr="0086255B" w:rsidRDefault="007E3E05" w:rsidP="007E3E05">
      <w:pPr>
        <w:pStyle w:val="ListParagraph"/>
        <w:numPr>
          <w:ilvl w:val="1"/>
          <w:numId w:val="9"/>
        </w:numPr>
        <w:tabs>
          <w:tab w:val="clear" w:pos="850"/>
        </w:tabs>
        <w:spacing w:after="120"/>
        <w:ind w:left="720" w:hanging="360"/>
        <w:rPr>
          <w:rFonts w:asciiTheme="minorHAnsi" w:hAnsiTheme="minorHAnsi" w:cstheme="minorHAnsi"/>
          <w:sz w:val="22"/>
          <w:szCs w:val="22"/>
        </w:rPr>
      </w:pPr>
      <w:r w:rsidRPr="0086255B">
        <w:rPr>
          <w:rFonts w:asciiTheme="minorHAnsi" w:hAnsiTheme="minorHAnsi" w:cstheme="minorHAnsi"/>
          <w:sz w:val="22"/>
          <w:szCs w:val="22"/>
        </w:rPr>
        <w:t xml:space="preserve">Ako mjera nije šema pomoći, uz ovaj obrazac prijave priložite sve zvanične dokumente odbora, procjene rizika, finansijske izvještaje, interne poslovne planove, stručna mišljenja i druge studije u vezi sa projektom koji se procjenjuje, dokumente koji sadrže informacije o prognozama potražnje, prognozama troškova, finansijskim prognozama, dokumente podnijete investicionom odboru koji razrađuju investicione/operativne scenarije, ili dokumente dostavljene finansijskim institucijama kako je navedeno u tački 28 fusnota 39 CEEAG-a. </w:t>
      </w:r>
      <w:r w:rsidRPr="0086255B">
        <w:rPr>
          <w:rFonts w:asciiTheme="minorHAnsi" w:hAnsiTheme="minorHAnsi" w:cstheme="minorHAnsi"/>
          <w:sz w:val="22"/>
          <w:szCs w:val="22"/>
        </w:rPr>
        <w:br/>
        <w:t xml:space="preserve">Napominjemo da ti dokumenti treba da budu iz perioda u kojem se donosila odluka o ulaganju/operaciji. </w:t>
      </w:r>
      <w:r w:rsidRPr="0086255B">
        <w:rPr>
          <w:rFonts w:asciiTheme="minorHAnsi" w:hAnsiTheme="minorHAnsi" w:cstheme="minorHAnsi"/>
          <w:sz w:val="22"/>
          <w:szCs w:val="22"/>
        </w:rPr>
        <w:br/>
        <w:t>Ako su takvi dokumenti priloženi uz obrazac za prijavu, u nastavku navedite listu tih dokumenata, navodeći autora, datum kada su izrađeni i kontekst u kojem su korišćeni.</w:t>
      </w:r>
    </w:p>
    <w:p w14:paraId="35CB5C1F"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5599F211"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w:t>
      </w:r>
      <w:r w:rsidRPr="0086255B">
        <w:rPr>
          <w:rFonts w:asciiTheme="minorHAnsi" w:hAnsiTheme="minorHAnsi" w:cstheme="minorHAnsi"/>
          <w:noProof/>
          <w:sz w:val="22"/>
          <w:shd w:val="clear" w:color="auto" w:fill="FFFFFF"/>
        </w:rPr>
        <w:t>dokazala</w:t>
      </w:r>
      <w:r w:rsidRPr="0086255B">
        <w:rPr>
          <w:rFonts w:asciiTheme="minorHAnsi" w:hAnsiTheme="minorHAnsi" w:cstheme="minorHAnsi"/>
          <w:noProof/>
          <w:sz w:val="22"/>
        </w:rPr>
        <w:t xml:space="preserve"> usklađenost sa tačkama 29 i 31 CEEAG-a:</w:t>
      </w:r>
    </w:p>
    <w:p w14:paraId="0DE86A18" w14:textId="77777777" w:rsidR="007E3E05" w:rsidRPr="0086255B" w:rsidRDefault="007E3E05" w:rsidP="007E3E05">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lastRenderedPageBreak/>
        <w:t>potvrdite da radovi na projektu ili djelatnosti nisu započeli prije nego što je korisnik nacionalnim organima podnio pisani zahtjev za pomoć;</w:t>
      </w:r>
    </w:p>
    <w:p w14:paraId="283ACE1F"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730245F6" w14:textId="77777777" w:rsidR="007E3E05" w:rsidRPr="0086255B" w:rsidRDefault="007E3E05" w:rsidP="007E3E05">
      <w:pPr>
        <w:pStyle w:val="Point2letter"/>
        <w:numPr>
          <w:ilvl w:val="0"/>
          <w:numId w:val="0"/>
        </w:numPr>
        <w:ind w:left="720"/>
        <w:rPr>
          <w:rFonts w:asciiTheme="minorHAnsi" w:hAnsiTheme="minorHAnsi" w:cstheme="minorHAnsi"/>
          <w:sz w:val="22"/>
        </w:rPr>
      </w:pPr>
      <w:r w:rsidRPr="0086255B">
        <w:rPr>
          <w:rFonts w:asciiTheme="minorHAnsi" w:hAnsiTheme="minorHAnsi" w:cstheme="minorHAnsi"/>
          <w:sz w:val="22"/>
        </w:rPr>
        <w:tab/>
      </w:r>
      <w:r w:rsidRPr="0086255B">
        <w:rPr>
          <w:rFonts w:asciiTheme="minorHAnsi" w:hAnsiTheme="minorHAnsi" w:cstheme="minorHAnsi"/>
          <w:i/>
          <w:sz w:val="22"/>
        </w:rPr>
        <w:t>ILI</w:t>
      </w:r>
    </w:p>
    <w:p w14:paraId="3942F23E" w14:textId="77777777" w:rsidR="007E3E05" w:rsidRPr="0086255B" w:rsidRDefault="007E3E05" w:rsidP="007E3E05">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za projekte koji su započeli prije podnošenja zahtjeva za pomoć, dokažite da je projekat obuhvaćen jednim od izuzetnih slučajeva iz tačke 31 CEEAG-a (podtačke (a), (b) ili (c)).</w:t>
      </w:r>
    </w:p>
    <w:p w14:paraId="5854025F"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29EBEC27"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5ACF4E63"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5DFF0AF9"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32 CEEAG-a navedite postoje li norme Evropske unije</w:t>
      </w:r>
      <w:r w:rsidRPr="0086255B">
        <w:rPr>
          <w:rStyle w:val="FootnoteReference"/>
          <w:rFonts w:asciiTheme="minorHAnsi" w:hAnsiTheme="minorHAnsi" w:cstheme="minorHAnsi"/>
          <w:noProof/>
          <w:sz w:val="22"/>
          <w:lang w:eastAsia="en-GB"/>
        </w:rPr>
        <w:footnoteReference w:id="5"/>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 U tom kontekstu, navedite informacije kojima se dokazuje podsticajni efekat.</w:t>
      </w:r>
    </w:p>
    <w:p w14:paraId="1C54D896"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7E05BC11"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3D0CE69D"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32F7FA6A" w14:textId="77777777" w:rsidR="007E3E05" w:rsidRPr="0086255B" w:rsidRDefault="007E3E05" w:rsidP="007E3E05">
      <w:pPr>
        <w:pStyle w:val="Heading2"/>
        <w:keepLines w:val="0"/>
        <w:numPr>
          <w:ilvl w:val="1"/>
          <w:numId w:val="8"/>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Nepostojanje povrede bilo koje odgovarajuće odredbe prava Unije</w:t>
      </w:r>
    </w:p>
    <w:p w14:paraId="6E4E8521" w14:textId="77777777" w:rsidR="007E3E05" w:rsidRPr="0086255B" w:rsidRDefault="007E3E05" w:rsidP="007E3E05">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55562DE9"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662C2546"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69EE245"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4.2. iznad.</w:t>
      </w:r>
    </w:p>
    <w:p w14:paraId="585B43DC" w14:textId="77777777" w:rsidR="007E3E05" w:rsidRPr="0086255B" w:rsidRDefault="007E3E05" w:rsidP="007E3E05">
      <w:pPr>
        <w:spacing w:before="120" w:after="120"/>
        <w:jc w:val="both"/>
        <w:rPr>
          <w:rFonts w:cstheme="minorHAnsi"/>
        </w:rPr>
      </w:pPr>
      <w:r w:rsidRPr="0086255B">
        <w:rPr>
          <w:rFonts w:cstheme="minorHAnsi"/>
        </w:rPr>
        <w:t>.....................................................................................................................................................</w:t>
      </w:r>
    </w:p>
    <w:p w14:paraId="4047441C" w14:textId="77777777" w:rsidR="007E3E05" w:rsidRPr="0086255B" w:rsidRDefault="007E3E05" w:rsidP="007E3E05">
      <w:pPr>
        <w:pStyle w:val="Heading1"/>
        <w:keepNext/>
        <w:numPr>
          <w:ilvl w:val="0"/>
          <w:numId w:val="8"/>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Negativni uslov: pomoć ne smije neopravdano uticati na uslove konkurencije i trgovine u mjeri u kojoj bi to bilo suprotno zajedničkom interesu</w:t>
      </w:r>
    </w:p>
    <w:p w14:paraId="090CC350" w14:textId="77777777" w:rsidR="007E3E05" w:rsidRPr="0086255B" w:rsidRDefault="007E3E05" w:rsidP="007E3E05">
      <w:pPr>
        <w:pStyle w:val="Heading2"/>
        <w:keepLines w:val="0"/>
        <w:numPr>
          <w:ilvl w:val="1"/>
          <w:numId w:val="8"/>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Svođenje narušavanja konkurencije i trgovine na najmanju moguću mjeru </w:t>
      </w:r>
    </w:p>
    <w:p w14:paraId="49AD7F12" w14:textId="77777777" w:rsidR="007E3E05" w:rsidRPr="0086255B" w:rsidRDefault="007E3E05" w:rsidP="007E3E05">
      <w:pPr>
        <w:pStyle w:val="Heading3"/>
        <w:keepLines w:val="0"/>
        <w:numPr>
          <w:ilvl w:val="2"/>
          <w:numId w:val="8"/>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Neophodnost i primjerenost intervencije državne pomoći</w:t>
      </w:r>
    </w:p>
    <w:p w14:paraId="1FF0B96C" w14:textId="77777777" w:rsidR="007E3E05" w:rsidRPr="0086255B" w:rsidRDefault="007E3E05" w:rsidP="007E3E05">
      <w:pPr>
        <w:spacing w:before="120" w:after="120"/>
        <w:jc w:val="both"/>
        <w:rPr>
          <w:rFonts w:cstheme="minorHAnsi"/>
          <w:i/>
          <w:noProof/>
        </w:rPr>
      </w:pPr>
      <w:r w:rsidRPr="0086255B">
        <w:rPr>
          <w:rFonts w:cstheme="minorHAnsi"/>
          <w:i/>
          <w:noProof/>
        </w:rPr>
        <w:t xml:space="preserve">Za unos podataka u ovom odjeljku vidjeti odjeljak 4.9.3.1. (tačke od 379 do 380) CEEAG-a. </w:t>
      </w:r>
    </w:p>
    <w:p w14:paraId="71061C94"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sz w:val="22"/>
        </w:rPr>
      </w:pPr>
      <w:r w:rsidRPr="0086255B">
        <w:rPr>
          <w:rFonts w:asciiTheme="minorHAnsi" w:hAnsiTheme="minorHAnsi" w:cstheme="minorHAnsi"/>
          <w:sz w:val="22"/>
        </w:rPr>
        <w:t xml:space="preserve">U </w:t>
      </w:r>
      <w:proofErr w:type="spellStart"/>
      <w:r w:rsidRPr="0086255B">
        <w:rPr>
          <w:rFonts w:asciiTheme="minorHAnsi" w:hAnsiTheme="minorHAnsi" w:cstheme="minorHAnsi"/>
          <w:sz w:val="22"/>
        </w:rPr>
        <w:t>tački</w:t>
      </w:r>
      <w:proofErr w:type="spellEnd"/>
      <w:r w:rsidRPr="0086255B">
        <w:rPr>
          <w:rFonts w:asciiTheme="minorHAnsi" w:hAnsiTheme="minorHAnsi" w:cstheme="minorHAnsi"/>
          <w:sz w:val="22"/>
        </w:rPr>
        <w:t xml:space="preserve"> 379 CEEAG-a </w:t>
      </w:r>
      <w:proofErr w:type="spellStart"/>
      <w:r w:rsidRPr="0086255B">
        <w:rPr>
          <w:rFonts w:asciiTheme="minorHAnsi" w:hAnsiTheme="minorHAnsi" w:cstheme="minorHAnsi"/>
          <w:sz w:val="22"/>
        </w:rPr>
        <w:t>propisano</w:t>
      </w:r>
      <w:proofErr w:type="spellEnd"/>
      <w:r w:rsidRPr="0086255B">
        <w:rPr>
          <w:rFonts w:asciiTheme="minorHAnsi" w:hAnsiTheme="minorHAnsi" w:cstheme="minorHAnsi"/>
          <w:sz w:val="22"/>
        </w:rPr>
        <w:t xml:space="preserve"> je da se, u </w:t>
      </w:r>
      <w:proofErr w:type="spellStart"/>
      <w:r w:rsidRPr="0086255B">
        <w:rPr>
          <w:rFonts w:asciiTheme="minorHAnsi" w:hAnsiTheme="minorHAnsi" w:cstheme="minorHAnsi"/>
          <w:sz w:val="22"/>
        </w:rPr>
        <w:t>vezi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energetskom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infrastrukturom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nedostaci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obično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otklanjaju</w:t>
      </w:r>
      <w:proofErr w:type="spellEnd"/>
      <w:r w:rsidRPr="0086255B">
        <w:rPr>
          <w:rFonts w:asciiTheme="minorHAnsi" w:hAnsiTheme="minorHAnsi" w:cstheme="minorHAnsi"/>
          <w:sz w:val="22"/>
        </w:rPr>
        <w:t>/</w:t>
      </w:r>
      <w:proofErr w:type="spellStart"/>
      <w:r w:rsidRPr="0086255B">
        <w:rPr>
          <w:rFonts w:asciiTheme="minorHAnsi" w:hAnsiTheme="minorHAnsi" w:cstheme="minorHAnsi"/>
          <w:sz w:val="22"/>
        </w:rPr>
        <w:t>finansiraju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putem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obaveznih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tarifa</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korisnike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predmet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regulacije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Međutim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navedeno</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tački</w:t>
      </w:r>
      <w:proofErr w:type="spellEnd"/>
      <w:r w:rsidRPr="0086255B">
        <w:rPr>
          <w:rFonts w:asciiTheme="minorHAnsi" w:hAnsiTheme="minorHAnsi" w:cstheme="minorHAnsi"/>
          <w:sz w:val="22"/>
        </w:rPr>
        <w:t xml:space="preserve"> 380 CEEAG-a, to ne mora </w:t>
      </w:r>
      <w:proofErr w:type="spellStart"/>
      <w:r w:rsidRPr="0086255B">
        <w:rPr>
          <w:rFonts w:asciiTheme="minorHAnsi" w:hAnsiTheme="minorHAnsi" w:cstheme="minorHAnsi"/>
          <w:sz w:val="22"/>
        </w:rPr>
        <w:t>uvijek</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biti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slučaj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Objasnite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koliko</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predmetnom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otklanjaju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nedostaci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koji</w:t>
      </w:r>
      <w:proofErr w:type="spellEnd"/>
      <w:r w:rsidRPr="0086255B">
        <w:rPr>
          <w:rFonts w:asciiTheme="minorHAnsi" w:hAnsiTheme="minorHAnsi" w:cstheme="minorHAnsi"/>
          <w:sz w:val="22"/>
        </w:rPr>
        <w:t xml:space="preserve"> se ne </w:t>
      </w:r>
      <w:proofErr w:type="spellStart"/>
      <w:r w:rsidRPr="0086255B">
        <w:rPr>
          <w:rFonts w:asciiTheme="minorHAnsi" w:hAnsiTheme="minorHAnsi" w:cstheme="minorHAnsi"/>
          <w:sz w:val="22"/>
        </w:rPr>
        <w:t>mogu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otkloniti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putem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obaveznih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tarifa</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korisnike</w:t>
      </w:r>
      <w:proofErr w:type="spellEnd"/>
      <w:r w:rsidRPr="0086255B">
        <w:rPr>
          <w:rFonts w:asciiTheme="minorHAnsi" w:hAnsiTheme="minorHAnsi" w:cstheme="minorHAnsi"/>
          <w:sz w:val="22"/>
        </w:rPr>
        <w:t>.</w:t>
      </w:r>
    </w:p>
    <w:p w14:paraId="12834A63"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51C96BBD"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dokazala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neophodnost</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primjerenost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državne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prema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sljedećih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situacija</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projekat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treba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ocijeniti</w:t>
      </w:r>
      <w:proofErr w:type="spellEnd"/>
      <w:r w:rsidRPr="0086255B">
        <w:rPr>
          <w:rFonts w:asciiTheme="minorHAnsi" w:hAnsiTheme="minorHAnsi" w:cstheme="minorHAnsi"/>
          <w:sz w:val="22"/>
        </w:rPr>
        <w:t>:</w:t>
      </w:r>
    </w:p>
    <w:p w14:paraId="37371F35" w14:textId="77777777" w:rsidR="007E3E05" w:rsidRPr="0086255B" w:rsidRDefault="007E3E05" w:rsidP="007E3E05">
      <w:pPr>
        <w:pStyle w:val="Point3letter"/>
        <w:numPr>
          <w:ilvl w:val="1"/>
          <w:numId w:val="11"/>
        </w:numPr>
        <w:tabs>
          <w:tab w:val="clear" w:pos="850"/>
        </w:tabs>
        <w:ind w:left="720" w:hanging="360"/>
        <w:rPr>
          <w:rFonts w:asciiTheme="minorHAnsi" w:hAnsiTheme="minorHAnsi" w:cstheme="minorHAnsi"/>
          <w:sz w:val="22"/>
        </w:rPr>
      </w:pPr>
      <w:r w:rsidRPr="0086255B">
        <w:rPr>
          <w:rFonts w:asciiTheme="minorHAnsi" w:hAnsiTheme="minorHAnsi" w:cstheme="minorHAnsi"/>
          <w:sz w:val="22"/>
        </w:rPr>
        <w:t>prijavljeni projekat je projekat od zajedničkog interesa kako je definisano u članu 2 tačka (4) Regulative (EU) br. 347/2013, koji su u potpunosti podložni zakonodavstvu unutrašnjeg energetskog tržišta. U toj situaciji, Komisija smatra da postoji pretpostavka tržišnog nedostatka. Država članica ne mora dodatno da opravdava potrebu i primjerenost državne pomoći, ili</w:t>
      </w:r>
    </w:p>
    <w:p w14:paraId="58B4FD28" w14:textId="77777777" w:rsidR="007E3E05" w:rsidRPr="0086255B" w:rsidRDefault="007E3E05" w:rsidP="007E3E05">
      <w:pPr>
        <w:pStyle w:val="Point3letter"/>
        <w:numPr>
          <w:ilvl w:val="1"/>
          <w:numId w:val="2"/>
        </w:numPr>
        <w:tabs>
          <w:tab w:val="clear" w:pos="850"/>
        </w:tabs>
        <w:ind w:left="720" w:hanging="360"/>
        <w:rPr>
          <w:rFonts w:asciiTheme="minorHAnsi" w:hAnsiTheme="minorHAnsi" w:cstheme="minorHAnsi"/>
          <w:sz w:val="22"/>
        </w:rPr>
      </w:pPr>
      <w:r w:rsidRPr="0086255B">
        <w:rPr>
          <w:rFonts w:asciiTheme="minorHAnsi" w:hAnsiTheme="minorHAnsi" w:cstheme="minorHAnsi"/>
          <w:sz w:val="22"/>
        </w:rPr>
        <w:t>prijavljeni projekat nije projekat od zajedničkog interesa kako je gore definisano, ili je projekat od zajedničkog interesa, ali je delimično ili u potpunosti izuzet od zakonodavstva unutrašnjeg energetskog tržišta, ili</w:t>
      </w:r>
    </w:p>
    <w:p w14:paraId="3260DD9F" w14:textId="77777777" w:rsidR="007E3E05" w:rsidRPr="0086255B" w:rsidRDefault="007E3E05" w:rsidP="007E3E05">
      <w:pPr>
        <w:pStyle w:val="Point3letter"/>
        <w:numPr>
          <w:ilvl w:val="1"/>
          <w:numId w:val="2"/>
        </w:numPr>
        <w:tabs>
          <w:tab w:val="clear" w:pos="850"/>
        </w:tabs>
        <w:ind w:left="720" w:hanging="360"/>
        <w:rPr>
          <w:rFonts w:asciiTheme="minorHAnsi" w:hAnsiTheme="minorHAnsi" w:cstheme="minorHAnsi"/>
          <w:sz w:val="22"/>
        </w:rPr>
      </w:pPr>
      <w:r w:rsidRPr="0086255B">
        <w:rPr>
          <w:rFonts w:asciiTheme="minorHAnsi" w:hAnsiTheme="minorHAnsi" w:cstheme="minorHAnsi"/>
          <w:sz w:val="22"/>
        </w:rPr>
        <w:t>projekat nije projekat od zajedničkog interesa i nalazi se između Unije i treće države.</w:t>
      </w:r>
    </w:p>
    <w:p w14:paraId="4922DA6D"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5922743E"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prijavljeni projekat nalazi u situaciji iz tačke 19 podtačka (b), kako bi se opravdala neophodnost i primjerenost mjere, objasnite:</w:t>
      </w:r>
    </w:p>
    <w:p w14:paraId="19D256E7"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 kojoj mjeri tržišni nedostatak dovodi do neoptimalnog osiguravanja potrebne infrastrukture;</w:t>
      </w:r>
    </w:p>
    <w:p w14:paraId="355C905E"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 kojoj je mjeri infrastruktura otvorena za pristup trećim licima i podliježe regulaciji tarifa;</w:t>
      </w:r>
    </w:p>
    <w:p w14:paraId="3B1B45AF"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 kojoj mjeri projekat doprinosi sigurnosti snabdijevanja u Uniji ili ostvarivanju ciljeva Unije u pogledu klimatske neutralnosti.</w:t>
      </w:r>
    </w:p>
    <w:p w14:paraId="204D14C1" w14:textId="77777777" w:rsidR="007E3E05" w:rsidRPr="0086255B" w:rsidRDefault="007E3E05" w:rsidP="007E3E05">
      <w:pPr>
        <w:spacing w:before="120" w:after="120"/>
        <w:jc w:val="both"/>
        <w:rPr>
          <w:rFonts w:cstheme="minorHAnsi"/>
        </w:rPr>
      </w:pPr>
      <w:r w:rsidRPr="0086255B">
        <w:rPr>
          <w:rFonts w:cstheme="minorHAnsi"/>
        </w:rPr>
        <w:t>..................................................................................................................................................................</w:t>
      </w:r>
    </w:p>
    <w:p w14:paraId="48220335"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projekat u situaciji iz tačke 19 podtačka (c), objasnite (i) kada je riječ o dijelu infrastrukture koji se nalazi na području Unije, da li je projekat izgrađen i upravlja li se njime u skladu sa zakonodavstvom Unije, posebno Direktivama 2009/73EZ i (EU) 2019/944, i (ii) kada je riječ o dijelu infrastrukture koji se nalazi u trećoj zemlji ili zemljama, da li projekat ima visok nivo usklađenosti sa propisima i da li se njime podržavaju opšti ciljevi Unije, posebno kako bi se osiguralo sljedeće:</w:t>
      </w:r>
    </w:p>
    <w:p w14:paraId="5BE1F2F3"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unutrašnje energetsko tršište koje dobro funkcioniše,</w:t>
      </w:r>
    </w:p>
    <w:p w14:paraId="0632474C"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sigurnost snabdijevanja energijom na osnovu saradnje i solidarnosti;</w:t>
      </w:r>
    </w:p>
    <w:p w14:paraId="51E5DB1E"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energestki sistem usmjeren na dekarbonizaciju u skladu sa Pariškim sporazumom i klimatskim ciljevima Unije, a posebno</w:t>
      </w:r>
    </w:p>
    <w:p w14:paraId="7A13E3B0"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izbjegavanje curenja ugljenika.</w:t>
      </w:r>
    </w:p>
    <w:p w14:paraId="6812D650" w14:textId="77777777" w:rsidR="007E3E05" w:rsidRPr="0086255B" w:rsidRDefault="007E3E05" w:rsidP="007E3E05">
      <w:pPr>
        <w:spacing w:before="120" w:after="120"/>
        <w:jc w:val="both"/>
        <w:rPr>
          <w:rFonts w:cstheme="minorHAnsi"/>
        </w:rPr>
      </w:pPr>
      <w:r w:rsidRPr="0086255B">
        <w:rPr>
          <w:rFonts w:cstheme="minorHAnsi"/>
        </w:rPr>
        <w:lastRenderedPageBreak/>
        <w:t>..................................................................................................................................................................</w:t>
      </w:r>
    </w:p>
    <w:p w14:paraId="35B4B32C" w14:textId="77777777" w:rsidR="007E3E05" w:rsidRPr="0086255B" w:rsidRDefault="007E3E05" w:rsidP="007E3E05">
      <w:pPr>
        <w:pStyle w:val="Heading3"/>
        <w:keepLines w:val="0"/>
        <w:numPr>
          <w:ilvl w:val="2"/>
          <w:numId w:val="8"/>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Proporcionalnost pomoći</w:t>
      </w:r>
    </w:p>
    <w:p w14:paraId="704A7F57" w14:textId="77777777" w:rsidR="007E3E05" w:rsidRPr="0086255B" w:rsidRDefault="007E3E05" w:rsidP="007E3E05">
      <w:pPr>
        <w:spacing w:before="120" w:after="120"/>
        <w:jc w:val="both"/>
        <w:rPr>
          <w:rFonts w:cstheme="minorHAnsi"/>
          <w:i/>
          <w:noProof/>
          <w:lang w:val="sr-Latn-ME"/>
        </w:rPr>
      </w:pPr>
      <w:r w:rsidRPr="0086255B">
        <w:rPr>
          <w:rFonts w:cstheme="minorHAnsi"/>
          <w:i/>
          <w:noProof/>
        </w:rPr>
        <w:t>Za unos podataka u ovom odjeljku vidjeti ta</w:t>
      </w:r>
      <w:r w:rsidRPr="0086255B">
        <w:rPr>
          <w:rFonts w:cstheme="minorHAnsi"/>
          <w:i/>
          <w:noProof/>
          <w:lang w:val="sr-Latn-ME"/>
        </w:rPr>
        <w:t>čke od 51 do 52 i tačku 381 CEEAG-a.</w:t>
      </w:r>
    </w:p>
    <w:p w14:paraId="75041D12"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sz w:val="22"/>
        </w:rPr>
      </w:pPr>
      <w:r w:rsidRPr="0086255B">
        <w:rPr>
          <w:rFonts w:asciiTheme="minorHAnsi" w:hAnsiTheme="minorHAnsi" w:cstheme="minorHAnsi"/>
          <w:sz w:val="22"/>
        </w:rPr>
        <w:t xml:space="preserve">U </w:t>
      </w:r>
      <w:proofErr w:type="spellStart"/>
      <w:r w:rsidRPr="0086255B">
        <w:rPr>
          <w:rFonts w:asciiTheme="minorHAnsi" w:hAnsiTheme="minorHAnsi" w:cstheme="minorHAnsi"/>
          <w:sz w:val="22"/>
        </w:rPr>
        <w:t>skladu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tačkom</w:t>
      </w:r>
      <w:proofErr w:type="spellEnd"/>
      <w:r w:rsidRPr="0086255B">
        <w:rPr>
          <w:rFonts w:asciiTheme="minorHAnsi" w:hAnsiTheme="minorHAnsi" w:cstheme="minorHAnsi"/>
          <w:sz w:val="22"/>
        </w:rPr>
        <w:t xml:space="preserve"> 51 CEEAG-a, </w:t>
      </w:r>
      <w:proofErr w:type="spellStart"/>
      <w:r w:rsidRPr="0086255B">
        <w:rPr>
          <w:rFonts w:asciiTheme="minorHAnsi" w:hAnsiTheme="minorHAnsi" w:cstheme="minorHAnsi"/>
          <w:sz w:val="22"/>
        </w:rPr>
        <w:t>uobičajeni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neto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dodatni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troškovi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mogu</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procijeniti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razlika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između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neto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sadašnje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vrijednosti</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činjenični</w:t>
      </w:r>
      <w:proofErr w:type="spellEnd"/>
      <w:r w:rsidRPr="0086255B">
        <w:rPr>
          <w:rFonts w:asciiTheme="minorHAnsi" w:hAnsiTheme="minorHAnsi" w:cstheme="minorHAnsi"/>
          <w:sz w:val="22"/>
        </w:rPr>
        <w:t xml:space="preserve"> scenario i </w:t>
      </w:r>
      <w:proofErr w:type="spellStart"/>
      <w:r w:rsidRPr="0086255B">
        <w:rPr>
          <w:rFonts w:asciiTheme="minorHAnsi" w:hAnsiTheme="minorHAnsi" w:cstheme="minorHAnsi"/>
          <w:sz w:val="22"/>
        </w:rPr>
        <w:t>uporedni</w:t>
      </w:r>
      <w:proofErr w:type="spellEnd"/>
      <w:r w:rsidRPr="0086255B">
        <w:rPr>
          <w:rFonts w:asciiTheme="minorHAnsi" w:hAnsiTheme="minorHAnsi" w:cstheme="minorHAnsi"/>
          <w:sz w:val="22"/>
        </w:rPr>
        <w:t xml:space="preserve"> scenario </w:t>
      </w:r>
      <w:proofErr w:type="spellStart"/>
      <w:r w:rsidRPr="0086255B">
        <w:rPr>
          <w:rFonts w:asciiTheme="minorHAnsi" w:hAnsiTheme="minorHAnsi" w:cstheme="minorHAnsi"/>
          <w:sz w:val="22"/>
        </w:rPr>
        <w:t>tokom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sprovođenja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projekta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po </w:t>
      </w:r>
      <w:proofErr w:type="spellStart"/>
      <w:r w:rsidRPr="0086255B">
        <w:rPr>
          <w:rFonts w:asciiTheme="minorHAnsi" w:hAnsiTheme="minorHAnsi" w:cstheme="minorHAnsi"/>
          <w:sz w:val="22"/>
        </w:rPr>
        <w:t>referentnom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projektu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gde</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primjenjivo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Ako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uporedni</w:t>
      </w:r>
      <w:proofErr w:type="spellEnd"/>
      <w:r w:rsidRPr="0086255B">
        <w:rPr>
          <w:rFonts w:asciiTheme="minorHAnsi" w:hAnsiTheme="minorHAnsi" w:cstheme="minorHAnsi"/>
          <w:sz w:val="22"/>
        </w:rPr>
        <w:t xml:space="preserve"> scenario </w:t>
      </w:r>
      <w:proofErr w:type="spellStart"/>
      <w:r w:rsidRPr="0086255B">
        <w:rPr>
          <w:rFonts w:asciiTheme="minorHAnsi" w:hAnsiTheme="minorHAnsi" w:cstheme="minorHAnsi"/>
          <w:sz w:val="22"/>
        </w:rPr>
        <w:t>taj</w:t>
      </w:r>
      <w:proofErr w:type="spellEnd"/>
      <w:r w:rsidRPr="0086255B">
        <w:rPr>
          <w:rFonts w:asciiTheme="minorHAnsi" w:hAnsiTheme="minorHAnsi" w:cstheme="minorHAnsi"/>
          <w:sz w:val="22"/>
        </w:rPr>
        <w:t xml:space="preserve"> da se </w:t>
      </w:r>
      <w:proofErr w:type="spellStart"/>
      <w:r w:rsidRPr="0086255B">
        <w:rPr>
          <w:rFonts w:asciiTheme="minorHAnsi" w:hAnsiTheme="minorHAnsi" w:cstheme="minorHAnsi"/>
          <w:sz w:val="22"/>
        </w:rPr>
        <w:t>projekat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neće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realizovati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vidjeti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tačku</w:t>
      </w:r>
      <w:proofErr w:type="spellEnd"/>
      <w:r w:rsidRPr="0086255B">
        <w:rPr>
          <w:rFonts w:asciiTheme="minorHAnsi" w:hAnsiTheme="minorHAnsi" w:cstheme="minorHAnsi"/>
          <w:sz w:val="22"/>
        </w:rPr>
        <w:t xml:space="preserve"> 52 CEEAG-a), </w:t>
      </w:r>
      <w:proofErr w:type="spellStart"/>
      <w:r w:rsidRPr="0086255B">
        <w:rPr>
          <w:rFonts w:asciiTheme="minorHAnsi" w:hAnsiTheme="minorHAnsi" w:cstheme="minorHAnsi"/>
          <w:sz w:val="22"/>
        </w:rPr>
        <w:t>negativna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neto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sadašnja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vrijednost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činjeničnog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scenarija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jednak</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neto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dodatnim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troškovima</w:t>
      </w:r>
      <w:proofErr w:type="spellEnd"/>
      <w:r w:rsidRPr="0086255B">
        <w:rPr>
          <w:rFonts w:asciiTheme="minorHAnsi" w:hAnsiTheme="minorHAnsi" w:cstheme="minorHAnsi"/>
          <w:sz w:val="22"/>
        </w:rPr>
        <w:t>.</w:t>
      </w:r>
    </w:p>
    <w:p w14:paraId="39DC2E1B" w14:textId="77777777" w:rsidR="007E3E05" w:rsidRPr="0086255B" w:rsidRDefault="007E3E05" w:rsidP="007E3E05">
      <w:pPr>
        <w:pStyle w:val="NumPar1"/>
        <w:tabs>
          <w:tab w:val="clear" w:pos="2625"/>
        </w:tabs>
        <w:ind w:left="360" w:firstLine="0"/>
        <w:rPr>
          <w:rFonts w:asciiTheme="minorHAnsi" w:hAnsiTheme="minorHAnsi" w:cstheme="minorHAnsi"/>
          <w:sz w:val="22"/>
        </w:rPr>
      </w:pPr>
      <w:r w:rsidRPr="0086255B">
        <w:rPr>
          <w:rFonts w:asciiTheme="minorHAnsi" w:hAnsiTheme="minorHAnsi" w:cstheme="minorHAnsi"/>
          <w:sz w:val="22"/>
        </w:rPr>
        <w:t xml:space="preserve">U </w:t>
      </w:r>
      <w:proofErr w:type="spellStart"/>
      <w:r w:rsidRPr="0086255B">
        <w:rPr>
          <w:rFonts w:asciiTheme="minorHAnsi" w:hAnsiTheme="minorHAnsi" w:cstheme="minorHAnsi"/>
          <w:sz w:val="22"/>
        </w:rPr>
        <w:t>Prilogu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uz</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ovaj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obrazac</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prijave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datoteci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formata</w:t>
      </w:r>
      <w:proofErr w:type="spellEnd"/>
      <w:r w:rsidRPr="0086255B">
        <w:rPr>
          <w:rFonts w:asciiTheme="minorHAnsi" w:hAnsiTheme="minorHAnsi" w:cstheme="minorHAnsi"/>
          <w:sz w:val="22"/>
        </w:rPr>
        <w:t xml:space="preserve"> Excel u </w:t>
      </w:r>
      <w:proofErr w:type="spellStart"/>
      <w:r w:rsidRPr="0086255B">
        <w:rPr>
          <w:rFonts w:asciiTheme="minorHAnsi" w:hAnsiTheme="minorHAnsi" w:cstheme="minorHAnsi"/>
          <w:sz w:val="22"/>
        </w:rPr>
        <w:t>kojoj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sve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formule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vidljive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dostavite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sljedeće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podatke</w:t>
      </w:r>
      <w:proofErr w:type="spellEnd"/>
      <w:r w:rsidRPr="0086255B">
        <w:rPr>
          <w:rFonts w:asciiTheme="minorHAnsi" w:hAnsiTheme="minorHAnsi" w:cstheme="minorHAnsi"/>
          <w:sz w:val="22"/>
        </w:rPr>
        <w:t>:</w:t>
      </w:r>
    </w:p>
    <w:p w14:paraId="4EE1914F" w14:textId="77777777" w:rsidR="007E3E05" w:rsidRPr="0086255B" w:rsidRDefault="007E3E05" w:rsidP="007E3E05">
      <w:pPr>
        <w:pStyle w:val="Point1letter"/>
        <w:tabs>
          <w:tab w:val="clear" w:pos="1417"/>
        </w:tabs>
        <w:ind w:left="720" w:hanging="360"/>
        <w:rPr>
          <w:rFonts w:asciiTheme="minorHAnsi" w:hAnsiTheme="minorHAnsi" w:cstheme="minorHAnsi"/>
          <w:sz w:val="22"/>
        </w:rPr>
      </w:pPr>
      <w:r w:rsidRPr="0086255B">
        <w:rPr>
          <w:rFonts w:asciiTheme="minorHAnsi" w:hAnsiTheme="minorHAnsi" w:cstheme="minorHAnsi"/>
          <w:sz w:val="22"/>
        </w:rPr>
        <w:t>kako bi se utvrdio finansijski jaz</w:t>
      </w:r>
      <w:r w:rsidRPr="0086255B">
        <w:rPr>
          <w:rStyle w:val="FootnoteReference"/>
          <w:rFonts w:asciiTheme="minorHAnsi" w:hAnsiTheme="minorHAnsi" w:cstheme="minorHAnsi"/>
          <w:sz w:val="22"/>
        </w:rPr>
        <w:footnoteReference w:id="6"/>
      </w:r>
      <w:r w:rsidRPr="0086255B">
        <w:rPr>
          <w:rFonts w:asciiTheme="minorHAnsi" w:hAnsiTheme="minorHAnsi" w:cstheme="minorHAnsi"/>
          <w:sz w:val="22"/>
        </w:rPr>
        <w:t xml:space="preserve">, za činjenični scenario, dostavite kvantifikaciju: </w:t>
      </w:r>
    </w:p>
    <w:p w14:paraId="3E9052D3" w14:textId="77777777" w:rsidR="007E3E05" w:rsidRPr="0086255B" w:rsidRDefault="007E3E05" w:rsidP="007E3E05">
      <w:pPr>
        <w:pStyle w:val="Point1letter"/>
        <w:numPr>
          <w:ilvl w:val="0"/>
          <w:numId w:val="12"/>
        </w:numPr>
        <w:ind w:left="1080"/>
        <w:rPr>
          <w:rFonts w:asciiTheme="minorHAnsi" w:hAnsiTheme="minorHAnsi" w:cstheme="minorHAnsi"/>
          <w:sz w:val="22"/>
        </w:rPr>
      </w:pPr>
      <w:r w:rsidRPr="0086255B">
        <w:rPr>
          <w:rFonts w:asciiTheme="minorHAnsi" w:hAnsiTheme="minorHAnsi" w:cstheme="minorHAnsi"/>
          <w:sz w:val="22"/>
        </w:rPr>
        <w:t>svih glavnih troškova i prihoda projekta;</w:t>
      </w:r>
    </w:p>
    <w:p w14:paraId="41C63B4C" w14:textId="77777777" w:rsidR="007E3E05" w:rsidRPr="0086255B" w:rsidRDefault="007E3E05" w:rsidP="007E3E05">
      <w:pPr>
        <w:pStyle w:val="Point1letter"/>
        <w:numPr>
          <w:ilvl w:val="0"/>
          <w:numId w:val="12"/>
        </w:numPr>
        <w:ind w:left="1080"/>
        <w:rPr>
          <w:rFonts w:asciiTheme="minorHAnsi" w:hAnsiTheme="minorHAnsi" w:cstheme="minorHAnsi"/>
          <w:sz w:val="22"/>
        </w:rPr>
      </w:pPr>
      <w:r w:rsidRPr="0086255B">
        <w:rPr>
          <w:rFonts w:asciiTheme="minorHAnsi" w:hAnsiTheme="minorHAnsi" w:cstheme="minorHAnsi"/>
          <w:sz w:val="22"/>
        </w:rPr>
        <w:t>procijenjenog ponderisanog prosječnog troška kapitala („WACC“) korisnika za diskontovanje budućih novčanih tokova;</w:t>
      </w:r>
    </w:p>
    <w:p w14:paraId="6CDDB9DC" w14:textId="77777777" w:rsidR="007E3E05" w:rsidRPr="0086255B" w:rsidRDefault="007E3E05" w:rsidP="007E3E05">
      <w:pPr>
        <w:pStyle w:val="Point1letter"/>
        <w:numPr>
          <w:ilvl w:val="0"/>
          <w:numId w:val="12"/>
        </w:numPr>
        <w:ind w:left="1080"/>
        <w:rPr>
          <w:rFonts w:asciiTheme="minorHAnsi" w:hAnsiTheme="minorHAnsi" w:cstheme="minorHAnsi"/>
          <w:sz w:val="22"/>
        </w:rPr>
      </w:pPr>
      <w:r w:rsidRPr="0086255B">
        <w:rPr>
          <w:rFonts w:asciiTheme="minorHAnsi" w:hAnsiTheme="minorHAnsi" w:cstheme="minorHAnsi"/>
          <w:sz w:val="22"/>
        </w:rPr>
        <w:t>neto sadašnje vrijednosti za činjenični scenario, tokom trajanja projekta.</w:t>
      </w:r>
    </w:p>
    <w:p w14:paraId="1130124E" w14:textId="77777777" w:rsidR="007E3E05" w:rsidRPr="0086255B" w:rsidRDefault="007E3E05" w:rsidP="007E3E05">
      <w:pPr>
        <w:pStyle w:val="Point1letter"/>
        <w:numPr>
          <w:ilvl w:val="0"/>
          <w:numId w:val="0"/>
        </w:numPr>
        <w:ind w:left="360" w:hanging="360"/>
        <w:rPr>
          <w:rFonts w:asciiTheme="minorHAnsi" w:hAnsiTheme="minorHAnsi" w:cstheme="minorHAnsi"/>
          <w:sz w:val="22"/>
        </w:rPr>
      </w:pPr>
      <w:r w:rsidRPr="0086255B">
        <w:rPr>
          <w:rFonts w:asciiTheme="minorHAnsi" w:hAnsiTheme="minorHAnsi" w:cstheme="minorHAnsi"/>
          <w:sz w:val="22"/>
        </w:rPr>
        <w:t>..................................................................................................................................................................</w:t>
      </w:r>
    </w:p>
    <w:p w14:paraId="7C3AE4AB" w14:textId="77777777" w:rsidR="007E3E05" w:rsidRPr="0086255B" w:rsidRDefault="007E3E05" w:rsidP="007E3E05">
      <w:pPr>
        <w:pStyle w:val="Point1letter"/>
        <w:numPr>
          <w:ilvl w:val="3"/>
          <w:numId w:val="5"/>
        </w:numPr>
        <w:tabs>
          <w:tab w:val="clear" w:pos="1417"/>
        </w:tabs>
        <w:ind w:left="720" w:hanging="360"/>
        <w:rPr>
          <w:rFonts w:asciiTheme="minorHAnsi" w:hAnsiTheme="minorHAnsi" w:cstheme="minorHAnsi"/>
          <w:sz w:val="22"/>
        </w:rPr>
      </w:pPr>
      <w:r w:rsidRPr="0086255B">
        <w:rPr>
          <w:rFonts w:asciiTheme="minorHAnsi" w:hAnsiTheme="minorHAnsi" w:cstheme="minorHAnsi"/>
          <w:sz w:val="22"/>
        </w:rPr>
        <w:t>U prilogu uz ovaj obrazac prijave navedite detaljne podatke o pretpostavkama, metodologijama, obrazloženju i izvorima podataka koji stoje iza svake strane kvantifikacije troškova i prihoda u činjeničnom scenariju (na primjer, navedite pretpostavke korišćene za utvrđivanje činjeničnog scenarija).</w:t>
      </w:r>
    </w:p>
    <w:p w14:paraId="7A636602" w14:textId="77777777" w:rsidR="007E3E05" w:rsidRPr="0086255B" w:rsidRDefault="007E3E05" w:rsidP="007E3E05">
      <w:pPr>
        <w:pStyle w:val="Point3letter"/>
        <w:numPr>
          <w:ilvl w:val="0"/>
          <w:numId w:val="0"/>
        </w:numPr>
        <w:rPr>
          <w:rFonts w:asciiTheme="minorHAnsi" w:hAnsiTheme="minorHAnsi" w:cstheme="minorHAnsi"/>
          <w:sz w:val="22"/>
        </w:rPr>
      </w:pPr>
      <w:r w:rsidRPr="0086255B">
        <w:rPr>
          <w:rFonts w:asciiTheme="minorHAnsi" w:hAnsiTheme="minorHAnsi" w:cstheme="minorHAnsi"/>
          <w:sz w:val="22"/>
        </w:rPr>
        <w:t>..................................................................................................................................................................</w:t>
      </w:r>
    </w:p>
    <w:p w14:paraId="524D5E86"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53 CEEAG-a u slučajevima individulanih pomoći i šema u korist posebno ograničenog broja korisnika, država članica mora dostaviti propratne dokaze na nivou detaljnog poslovnog plana projekta.</w:t>
      </w:r>
    </w:p>
    <w:p w14:paraId="7D3027FF" w14:textId="77777777" w:rsidR="007E3E05" w:rsidRPr="0086255B" w:rsidRDefault="007E3E05" w:rsidP="007E3E05">
      <w:pPr>
        <w:spacing w:before="120" w:after="120"/>
        <w:ind w:left="360"/>
        <w:jc w:val="both"/>
        <w:rPr>
          <w:rFonts w:cstheme="minorHAnsi"/>
        </w:rPr>
      </w:pPr>
      <w:r w:rsidRPr="0086255B">
        <w:rPr>
          <w:rFonts w:cstheme="minorHAnsi"/>
        </w:rPr>
        <w:t xml:space="preserve">U </w:t>
      </w:r>
      <w:proofErr w:type="spellStart"/>
      <w:r w:rsidRPr="0086255B">
        <w:rPr>
          <w:rFonts w:cstheme="minorHAnsi"/>
        </w:rPr>
        <w:t>slučajevima</w:t>
      </w:r>
      <w:proofErr w:type="spellEnd"/>
      <w:r w:rsidRPr="0086255B">
        <w:rPr>
          <w:rFonts w:cstheme="minorHAnsi"/>
        </w:rPr>
        <w:t xml:space="preserve"> </w:t>
      </w:r>
      <w:proofErr w:type="spellStart"/>
      <w:r w:rsidRPr="0086255B">
        <w:rPr>
          <w:rFonts w:cstheme="minorHAnsi"/>
        </w:rPr>
        <w:t>šeme</w:t>
      </w:r>
      <w:proofErr w:type="spellEnd"/>
      <w:r w:rsidRPr="0086255B">
        <w:rPr>
          <w:rFonts w:cstheme="minorHAnsi"/>
        </w:rPr>
        <w:t xml:space="preserve"> </w:t>
      </w:r>
      <w:proofErr w:type="spellStart"/>
      <w:r w:rsidRPr="0086255B">
        <w:rPr>
          <w:rFonts w:cstheme="minorHAnsi"/>
        </w:rPr>
        <w:t>pomoći</w:t>
      </w:r>
      <w:proofErr w:type="spellEnd"/>
      <w:r w:rsidRPr="0086255B">
        <w:rPr>
          <w:rFonts w:cstheme="minorHAnsi"/>
        </w:rPr>
        <w:t xml:space="preserve"> </w:t>
      </w:r>
      <w:proofErr w:type="spellStart"/>
      <w:r w:rsidRPr="0086255B">
        <w:rPr>
          <w:rFonts w:cstheme="minorHAnsi"/>
        </w:rPr>
        <w:t>država</w:t>
      </w:r>
      <w:proofErr w:type="spellEnd"/>
      <w:r w:rsidRPr="0086255B">
        <w:rPr>
          <w:rFonts w:cstheme="minorHAnsi"/>
        </w:rPr>
        <w:t xml:space="preserve"> </w:t>
      </w:r>
      <w:proofErr w:type="spellStart"/>
      <w:r w:rsidRPr="0086255B">
        <w:rPr>
          <w:rFonts w:cstheme="minorHAnsi"/>
        </w:rPr>
        <w:t>članica</w:t>
      </w:r>
      <w:proofErr w:type="spellEnd"/>
      <w:r w:rsidRPr="0086255B">
        <w:rPr>
          <w:rFonts w:cstheme="minorHAnsi"/>
        </w:rPr>
        <w:t xml:space="preserve"> mora </w:t>
      </w:r>
      <w:proofErr w:type="spellStart"/>
      <w:r w:rsidRPr="0086255B">
        <w:rPr>
          <w:rFonts w:cstheme="minorHAnsi"/>
        </w:rPr>
        <w:t>dostaviti</w:t>
      </w:r>
      <w:proofErr w:type="spellEnd"/>
      <w:r w:rsidRPr="0086255B">
        <w:rPr>
          <w:rFonts w:cstheme="minorHAnsi"/>
        </w:rPr>
        <w:t xml:space="preserve"> </w:t>
      </w:r>
      <w:proofErr w:type="spellStart"/>
      <w:r w:rsidRPr="0086255B">
        <w:rPr>
          <w:rFonts w:cstheme="minorHAnsi"/>
        </w:rPr>
        <w:t>propratne</w:t>
      </w:r>
      <w:proofErr w:type="spellEnd"/>
      <w:r w:rsidRPr="0086255B">
        <w:rPr>
          <w:rFonts w:cstheme="minorHAnsi"/>
        </w:rPr>
        <w:t xml:space="preserve"> </w:t>
      </w:r>
      <w:proofErr w:type="spellStart"/>
      <w:r w:rsidRPr="0086255B">
        <w:rPr>
          <w:rFonts w:cstheme="minorHAnsi"/>
        </w:rPr>
        <w:t>dokaze</w:t>
      </w:r>
      <w:proofErr w:type="spellEnd"/>
      <w:r w:rsidRPr="0086255B">
        <w:rPr>
          <w:rFonts w:cstheme="minorHAnsi"/>
        </w:rPr>
        <w:t xml:space="preserve"> </w:t>
      </w:r>
      <w:proofErr w:type="spellStart"/>
      <w:r w:rsidRPr="0086255B">
        <w:rPr>
          <w:rFonts w:cstheme="minorHAnsi"/>
        </w:rPr>
        <w:t>na</w:t>
      </w:r>
      <w:proofErr w:type="spellEnd"/>
      <w:r w:rsidRPr="0086255B">
        <w:rPr>
          <w:rFonts w:cstheme="minorHAnsi"/>
        </w:rPr>
        <w:t xml:space="preserve"> </w:t>
      </w:r>
      <w:proofErr w:type="spellStart"/>
      <w:r w:rsidRPr="0086255B">
        <w:rPr>
          <w:rFonts w:cstheme="minorHAnsi"/>
        </w:rPr>
        <w:t>osnovu</w:t>
      </w:r>
      <w:proofErr w:type="spellEnd"/>
      <w:r w:rsidRPr="0086255B">
        <w:rPr>
          <w:rFonts w:cstheme="minorHAnsi"/>
        </w:rPr>
        <w:t xml:space="preserve"> </w:t>
      </w:r>
      <w:proofErr w:type="spellStart"/>
      <w:r w:rsidRPr="0086255B">
        <w:rPr>
          <w:rFonts w:cstheme="minorHAnsi"/>
        </w:rPr>
        <w:t>jednog</w:t>
      </w:r>
      <w:proofErr w:type="spellEnd"/>
      <w:r w:rsidRPr="0086255B">
        <w:rPr>
          <w:rFonts w:cstheme="minorHAnsi"/>
        </w:rPr>
        <w:t xml:space="preserve"> </w:t>
      </w:r>
      <w:proofErr w:type="spellStart"/>
      <w:r w:rsidRPr="0086255B">
        <w:rPr>
          <w:rFonts w:cstheme="minorHAnsi"/>
        </w:rPr>
        <w:t>ili</w:t>
      </w:r>
      <w:proofErr w:type="spellEnd"/>
      <w:r w:rsidRPr="0086255B">
        <w:rPr>
          <w:rFonts w:cstheme="minorHAnsi"/>
        </w:rPr>
        <w:t xml:space="preserve"> </w:t>
      </w:r>
      <w:proofErr w:type="spellStart"/>
      <w:r w:rsidRPr="0086255B">
        <w:rPr>
          <w:rFonts w:cstheme="minorHAnsi"/>
        </w:rPr>
        <w:t>više</w:t>
      </w:r>
      <w:proofErr w:type="spellEnd"/>
      <w:r w:rsidRPr="0086255B">
        <w:rPr>
          <w:rFonts w:cstheme="minorHAnsi"/>
        </w:rPr>
        <w:t xml:space="preserve"> </w:t>
      </w:r>
      <w:proofErr w:type="spellStart"/>
      <w:r w:rsidRPr="0086255B">
        <w:rPr>
          <w:rFonts w:cstheme="minorHAnsi"/>
        </w:rPr>
        <w:t>referentnih</w:t>
      </w:r>
      <w:proofErr w:type="spellEnd"/>
      <w:r w:rsidRPr="0086255B">
        <w:rPr>
          <w:rFonts w:cstheme="minorHAnsi"/>
        </w:rPr>
        <w:t xml:space="preserve"> </w:t>
      </w:r>
      <w:proofErr w:type="spellStart"/>
      <w:r w:rsidRPr="0086255B">
        <w:rPr>
          <w:rFonts w:cstheme="minorHAnsi"/>
        </w:rPr>
        <w:t>projekata</w:t>
      </w:r>
      <w:proofErr w:type="spellEnd"/>
      <w:r w:rsidRPr="0086255B">
        <w:rPr>
          <w:rFonts w:cstheme="minorHAnsi"/>
        </w:rPr>
        <w:t>.</w:t>
      </w:r>
    </w:p>
    <w:p w14:paraId="3B7B625D"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Komisija mogla potvrditi da iznos pomoći ne prelazi minimalni iznos potreban da bi projekat kojem je dodijeljena pomoć bio dovoljno profitabilan</w:t>
      </w:r>
      <w:r w:rsidRPr="0086255B">
        <w:rPr>
          <w:rStyle w:val="FootnoteReference"/>
          <w:rFonts w:asciiTheme="minorHAnsi" w:hAnsiTheme="minorHAnsi" w:cstheme="minorHAnsi"/>
          <w:noProof/>
          <w:sz w:val="22"/>
        </w:rPr>
        <w:footnoteReference w:id="7"/>
      </w:r>
      <w:r w:rsidRPr="0086255B">
        <w:rPr>
          <w:rFonts w:asciiTheme="minorHAnsi" w:hAnsiTheme="minorHAnsi" w:cstheme="minorHAnsi"/>
          <w:noProof/>
          <w:sz w:val="22"/>
        </w:rPr>
        <w:t>, navedite sljedeće informacije:</w:t>
      </w:r>
    </w:p>
    <w:p w14:paraId="07796607" w14:textId="77777777" w:rsidR="007E3E05" w:rsidRPr="0086255B" w:rsidRDefault="007E3E05" w:rsidP="007E3E05">
      <w:pPr>
        <w:pStyle w:val="Point4letter"/>
        <w:tabs>
          <w:tab w:val="clear" w:pos="3118"/>
        </w:tabs>
        <w:ind w:left="720" w:hanging="360"/>
        <w:rPr>
          <w:rFonts w:asciiTheme="minorHAnsi" w:hAnsiTheme="minorHAnsi" w:cstheme="minorHAnsi"/>
          <w:sz w:val="22"/>
        </w:rPr>
      </w:pPr>
      <w:r w:rsidRPr="0086255B">
        <w:rPr>
          <w:rFonts w:asciiTheme="minorHAnsi" w:hAnsiTheme="minorHAnsi" w:cstheme="minorHAnsi"/>
          <w:sz w:val="22"/>
        </w:rPr>
        <w:t>internu stopu povraćaja (IRR) koja odgovara referentnoj vrijednosti ili zahtijevanoj stopi sektora ili preduzeća; ili</w:t>
      </w:r>
    </w:p>
    <w:p w14:paraId="574BBEA8" w14:textId="77777777" w:rsidR="007E3E05" w:rsidRPr="0086255B" w:rsidRDefault="007E3E05" w:rsidP="007E3E05">
      <w:pPr>
        <w:pStyle w:val="Point4letter"/>
        <w:tabs>
          <w:tab w:val="clear" w:pos="3118"/>
        </w:tabs>
        <w:ind w:left="720" w:hanging="360"/>
        <w:rPr>
          <w:rFonts w:asciiTheme="minorHAnsi" w:hAnsiTheme="minorHAnsi" w:cstheme="minorHAnsi"/>
          <w:sz w:val="22"/>
        </w:rPr>
      </w:pPr>
      <w:r w:rsidRPr="0086255B">
        <w:rPr>
          <w:rFonts w:asciiTheme="minorHAnsi" w:hAnsiTheme="minorHAnsi" w:cstheme="minorHAnsi"/>
          <w:sz w:val="22"/>
        </w:rPr>
        <w:t>uobičajene stope povraćaja koje korisnik zahtijeva u drugim investicionim projektima sličnog tipa, njegova ukupna cijena kapitala; ili</w:t>
      </w:r>
    </w:p>
    <w:p w14:paraId="0FDE2201" w14:textId="77777777" w:rsidR="007E3E05" w:rsidRPr="0086255B" w:rsidRDefault="007E3E05" w:rsidP="007E3E05">
      <w:pPr>
        <w:pStyle w:val="Point4letter"/>
        <w:tabs>
          <w:tab w:val="clear" w:pos="3118"/>
        </w:tabs>
        <w:ind w:left="720" w:hanging="360"/>
        <w:rPr>
          <w:rFonts w:asciiTheme="minorHAnsi" w:hAnsiTheme="minorHAnsi" w:cstheme="minorHAnsi"/>
          <w:sz w:val="22"/>
        </w:rPr>
      </w:pPr>
      <w:r w:rsidRPr="0086255B">
        <w:rPr>
          <w:rFonts w:asciiTheme="minorHAnsi" w:hAnsiTheme="minorHAnsi" w:cstheme="minorHAnsi"/>
          <w:sz w:val="22"/>
        </w:rPr>
        <w:t>povraćaje koji se obično bilježe u datoj industriji; ili</w:t>
      </w:r>
    </w:p>
    <w:p w14:paraId="57CB3436" w14:textId="77777777" w:rsidR="007E3E05" w:rsidRPr="0086255B" w:rsidRDefault="007E3E05" w:rsidP="007E3E05">
      <w:pPr>
        <w:pStyle w:val="Point4letter"/>
        <w:tabs>
          <w:tab w:val="clear" w:pos="3118"/>
        </w:tabs>
        <w:ind w:left="720" w:hanging="360"/>
        <w:rPr>
          <w:rFonts w:asciiTheme="minorHAnsi" w:hAnsiTheme="minorHAnsi" w:cstheme="minorHAnsi"/>
          <w:sz w:val="22"/>
        </w:rPr>
      </w:pPr>
      <w:r w:rsidRPr="0086255B">
        <w:rPr>
          <w:rFonts w:asciiTheme="minorHAnsi" w:hAnsiTheme="minorHAnsi" w:cstheme="minorHAnsi"/>
          <w:sz w:val="22"/>
        </w:rPr>
        <w:lastRenderedPageBreak/>
        <w:t>bilo koja druga informacija koja opravdava da iznos pomoći ne prelazi minimum neophodan da bi projekat kojem je dodijeljena pomoć bio dovoljno profitabilan.</w:t>
      </w:r>
    </w:p>
    <w:p w14:paraId="299EF022" w14:textId="77777777" w:rsidR="007E3E05" w:rsidRDefault="007E3E05" w:rsidP="007E3E05">
      <w:pPr>
        <w:pStyle w:val="Point4letter"/>
        <w:numPr>
          <w:ilvl w:val="0"/>
          <w:numId w:val="0"/>
        </w:numPr>
        <w:rPr>
          <w:rFonts w:asciiTheme="minorHAnsi" w:hAnsiTheme="minorHAnsi" w:cstheme="minorHAnsi"/>
          <w:sz w:val="22"/>
        </w:rPr>
      </w:pPr>
      <w:r w:rsidRPr="0086255B">
        <w:rPr>
          <w:rFonts w:asciiTheme="minorHAnsi" w:hAnsiTheme="minorHAnsi" w:cstheme="minorHAnsi"/>
          <w:sz w:val="22"/>
        </w:rPr>
        <w:t>..................................................................................................................................................................</w:t>
      </w:r>
    </w:p>
    <w:p w14:paraId="516F0D23"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2C57C7D1"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381 CEEAG-a, ako je pomoć blizu najvećeg dozvoljneog iznosa i ako postoji rizik od nepredviđene dobiti, možda će biti potreban mehanizam za praćenje i povraćaj prekomjernih sredstava, a da se pritom zadrže podsticaji za korisnike da smanje troškove i s vremenom razviju svoje poslovanje na efikasniji način. Objasnite da li postoji mehanizam za praćenje i povraćaj prekomjernih sredstava. Ako ne postoji, objasnite zašto.</w:t>
      </w:r>
    </w:p>
    <w:p w14:paraId="3E995712" w14:textId="77777777" w:rsidR="007E3E05" w:rsidRDefault="007E3E05" w:rsidP="007E3E05">
      <w:pPr>
        <w:tabs>
          <w:tab w:val="left" w:leader="dot" w:pos="9072"/>
        </w:tabs>
        <w:spacing w:before="120" w:after="120"/>
        <w:jc w:val="both"/>
        <w:rPr>
          <w:rFonts w:cstheme="minorHAnsi"/>
          <w:noProof/>
        </w:rPr>
      </w:pPr>
      <w:r w:rsidRPr="0086255B">
        <w:rPr>
          <w:rFonts w:cstheme="minorHAnsi"/>
          <w:noProof/>
        </w:rPr>
        <w:tab/>
      </w:r>
    </w:p>
    <w:p w14:paraId="1BAE2595"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02E48905" w14:textId="77777777" w:rsidR="007E3E05" w:rsidRPr="0086255B" w:rsidRDefault="007E3E05" w:rsidP="007E3E05">
      <w:pPr>
        <w:pStyle w:val="Heading3"/>
        <w:keepLines w:val="0"/>
        <w:numPr>
          <w:ilvl w:val="2"/>
          <w:numId w:val="8"/>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146927A9" w14:textId="77777777" w:rsidR="007E3E05" w:rsidRPr="0086255B" w:rsidRDefault="007E3E05" w:rsidP="007E3E05">
      <w:pPr>
        <w:spacing w:before="120" w:after="120"/>
        <w:jc w:val="both"/>
        <w:rPr>
          <w:rFonts w:cstheme="minorHAnsi"/>
          <w:i/>
          <w:iCs/>
          <w:noProof/>
        </w:rPr>
      </w:pPr>
      <w:r w:rsidRPr="0086255B">
        <w:rPr>
          <w:rFonts w:cstheme="minorHAnsi"/>
          <w:i/>
          <w:noProof/>
        </w:rPr>
        <w:t>Za unos podataka u ovom odjeljku vidjeti tačke 56 i 57 CEEAG-a.</w:t>
      </w:r>
    </w:p>
    <w:p w14:paraId="212343A2"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odjeljku 7.4. opšteg obrasca prijave (dio I) i kako bi se provjerila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prihvatljive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 Napominjemo da se možete pozvati na prethodno navedeno mjerenje.</w:t>
      </w:r>
    </w:p>
    <w:p w14:paraId="60E66209"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014BD85A"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se pomoć dodjeljuje istovremeno u okviru nekoliko šema pomoći ili se kumulira sa ad-hoc ili </w:t>
      </w:r>
      <w:r w:rsidRPr="0086255B">
        <w:rPr>
          <w:rFonts w:asciiTheme="minorHAnsi" w:hAnsiTheme="minorHAnsi" w:cstheme="minorHAnsi"/>
          <w:i/>
          <w:noProof/>
          <w:sz w:val="22"/>
        </w:rPr>
        <w:t xml:space="preserve">de minimis </w:t>
      </w:r>
      <w:r w:rsidRPr="0086255B">
        <w:rPr>
          <w:rFonts w:asciiTheme="minorHAnsi" w:hAnsiTheme="minorHAnsi" w:cstheme="minorHAnsi"/>
          <w:noProof/>
          <w:sz w:val="22"/>
        </w:rPr>
        <w:t>pomoći za prihvatljive troškove, obrazložite kako ukupni iznos pomoći dodijeljen na osnovu prijavljenih mjera za projekt ili djelatnost ne dovodi do prekomjerne naknade ili ne prelazi maksimalni iznos pomoći dozvoljen u skladu sa tačkama 51 i 381 CEEAG-a. Za svaku mjeru sa kojom se pomoć dodijeljena u okviru prijavljenih mjera pomoći može kumulirati navedite metodologiju koja je korišćenja kako bi se osigurala usklađenost sa uslovima utvrđenim u tački 56 CEEAG-a.</w:t>
      </w:r>
    </w:p>
    <w:p w14:paraId="55B7A972"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01EC4F77"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8"/>
      </w:r>
      <w:r w:rsidRPr="0086255B">
        <w:rPr>
          <w:rFonts w:asciiTheme="minorHAnsi" w:hAnsiTheme="minorHAnsi" w:cstheme="minorHAnsi"/>
          <w:noProof/>
          <w:sz w:val="22"/>
        </w:rPr>
        <w:t xml:space="preserve"> Unije kojima se centralizovano upravlja,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61B12706"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6433041F" w14:textId="77777777" w:rsidR="007E3E05" w:rsidRPr="0086255B" w:rsidRDefault="007E3E05" w:rsidP="007E3E05">
      <w:pPr>
        <w:pStyle w:val="Heading3"/>
        <w:keepLines w:val="0"/>
        <w:numPr>
          <w:ilvl w:val="2"/>
          <w:numId w:val="8"/>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 Transparentnost</w:t>
      </w:r>
    </w:p>
    <w:p w14:paraId="1431FC2C" w14:textId="77777777" w:rsidR="007E3E05" w:rsidRPr="0086255B" w:rsidRDefault="007E3E05" w:rsidP="007E3E05">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5CA3CE78" w14:textId="77777777" w:rsidR="007E3E05" w:rsidRPr="0086255B" w:rsidRDefault="007E3E05" w:rsidP="007E3E05">
      <w:pPr>
        <w:pStyle w:val="NumPar1"/>
        <w:numPr>
          <w:ilvl w:val="0"/>
          <w:numId w:val="6"/>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1334AB10"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lastRenderedPageBreak/>
        <w:tab/>
      </w:r>
    </w:p>
    <w:p w14:paraId="669333A4"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38310893"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C22BBC1" w14:textId="77777777" w:rsidR="007E3E05" w:rsidRPr="0086255B" w:rsidRDefault="007E3E05" w:rsidP="007E3E05">
      <w:pPr>
        <w:pStyle w:val="Heading2"/>
        <w:keepLines w:val="0"/>
        <w:numPr>
          <w:ilvl w:val="1"/>
          <w:numId w:val="8"/>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Izbjegavanje nepotrebnih negativnih efekata na konkurenciju i trgovinu i balansiranje</w:t>
      </w:r>
    </w:p>
    <w:p w14:paraId="6B89B879" w14:textId="77777777" w:rsidR="007E3E05" w:rsidRPr="0086255B" w:rsidRDefault="007E3E05" w:rsidP="007E3E05">
      <w:pPr>
        <w:spacing w:before="120" w:after="120"/>
        <w:jc w:val="both"/>
        <w:rPr>
          <w:rFonts w:cstheme="minorHAnsi"/>
          <w:i/>
          <w:noProof/>
        </w:rPr>
      </w:pPr>
      <w:r w:rsidRPr="0086255B">
        <w:rPr>
          <w:rFonts w:cstheme="minorHAnsi"/>
          <w:i/>
          <w:noProof/>
        </w:rPr>
        <w:t xml:space="preserve">Za unos podataka u ovom odjeljku vidjeti odjeljak 4.9.4. (tačka 382 i dalje) CEEAG-a. </w:t>
      </w:r>
    </w:p>
    <w:p w14:paraId="1D76E03D"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prijavljeni projekat u cjelini ili djelimično izuzet iz propisa o unutrašnjem energetskom tržištu, objasnite:</w:t>
      </w:r>
    </w:p>
    <w:p w14:paraId="74853563"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 kojoj je mjeri infrastruktura kojoj je dodijeljena pomoć otvorena za pristup trećih lica;</w:t>
      </w:r>
    </w:p>
    <w:p w14:paraId="355DFDC4"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 kojoj mjeri kupci mogu imati pristup alternativnoj infrastrukturi, ako postoji,</w:t>
      </w:r>
    </w:p>
    <w:p w14:paraId="71DD2A22"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u kojoj bi mjeri projekat mogao dovesti do istiskivanja privatnih ulaganja;</w:t>
      </w:r>
    </w:p>
    <w:p w14:paraId="4CA643B3"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konkurentni položaj korisnika u odnosu na upravljanje infrastrukturom i odgovarajuća tržišta proizvoda za robu koja se prevozi infrastrukturom.</w:t>
      </w:r>
    </w:p>
    <w:p w14:paraId="218012DB" w14:textId="77777777" w:rsidR="007E3E05" w:rsidRPr="0086255B" w:rsidRDefault="007E3E05" w:rsidP="007E3E05">
      <w:pPr>
        <w:spacing w:before="120" w:after="120"/>
        <w:jc w:val="both"/>
        <w:rPr>
          <w:rFonts w:cstheme="minorHAnsi"/>
        </w:rPr>
      </w:pPr>
      <w:r w:rsidRPr="0086255B">
        <w:rPr>
          <w:rFonts w:cstheme="minorHAnsi"/>
        </w:rPr>
        <w:t>.....................................................................................................................................................</w:t>
      </w:r>
    </w:p>
    <w:p w14:paraId="49601374"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prijavljeni projekat infrastruktura za prirodni gas, navedite informacije o tome kako će prijavljeni projekat ispuniti sljedeće uslove:</w:t>
      </w:r>
    </w:p>
    <w:p w14:paraId="05D73651"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infrastruktura je spremna za korišćenje vodonika i doprinosi povećanju upotrebe obnovljivih gasova, ili ako to nije slučaj, razlog zašto nije moguće osmisliti projekat tako da bude spreman za korišćenje vodonika i kako projekat ne stvara efekat vezanosti u korišćenju prirodnog gasa;</w:t>
      </w:r>
    </w:p>
    <w:p w14:paraId="2C4B677E" w14:textId="77777777" w:rsidR="007E3E05" w:rsidRPr="0086255B" w:rsidRDefault="007E3E05" w:rsidP="007E3E05">
      <w:pPr>
        <w:pStyle w:val="ListParagraph"/>
        <w:numPr>
          <w:ilvl w:val="0"/>
          <w:numId w:val="4"/>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ulaganje doprinosi ostvarivanju klimatskih ciljeva Unije za 2030. godinu i cilja klimatske neutralnosti do 2050. godine. </w:t>
      </w:r>
    </w:p>
    <w:p w14:paraId="63CE0ABD"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prijavljeni projekat projekat od zajedničkog interesa ili projekat od uzajamnog interesa koji ne podliježe propisima o unutrašnjem tržištu, objasnite kako će projekat uticati na tržišta povezanih usluga i druga tržišta usluga.</w:t>
      </w:r>
    </w:p>
    <w:p w14:paraId="727ED6D0"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tbl>
      <w:tblPr>
        <w:tblStyle w:val="TableGrid"/>
        <w:tblW w:w="5000" w:type="pct"/>
        <w:shd w:val="clear" w:color="auto" w:fill="D9D9D9" w:themeFill="background1" w:themeFillShade="D9"/>
        <w:tblLook w:val="04A0" w:firstRow="1" w:lastRow="0" w:firstColumn="1" w:lastColumn="0" w:noHBand="0" w:noVBand="1"/>
      </w:tblPr>
      <w:tblGrid>
        <w:gridCol w:w="9350"/>
      </w:tblGrid>
      <w:tr w:rsidR="007E3E05" w:rsidRPr="0086255B" w14:paraId="3BE11950" w14:textId="77777777" w:rsidTr="00D507D9">
        <w:tc>
          <w:tcPr>
            <w:tcW w:w="5000" w:type="pct"/>
            <w:shd w:val="clear" w:color="auto" w:fill="D9D9D9" w:themeFill="background1" w:themeFillShade="D9"/>
          </w:tcPr>
          <w:p w14:paraId="0703E7D2" w14:textId="77777777" w:rsidR="007E3E05" w:rsidRPr="0086255B" w:rsidRDefault="007E3E05" w:rsidP="00D507D9">
            <w:pPr>
              <w:tabs>
                <w:tab w:val="left" w:leader="dot" w:pos="9072"/>
              </w:tabs>
              <w:spacing w:before="120" w:after="120"/>
              <w:jc w:val="both"/>
              <w:rPr>
                <w:rFonts w:asciiTheme="minorHAnsi" w:hAnsiTheme="minorHAnsi" w:cstheme="minorHAnsi"/>
                <w:b/>
                <w:noProof/>
                <w:sz w:val="22"/>
                <w:szCs w:val="22"/>
              </w:rPr>
            </w:pPr>
            <w:r w:rsidRPr="0086255B">
              <w:rPr>
                <w:rFonts w:asciiTheme="minorHAnsi" w:hAnsiTheme="minorHAnsi" w:cstheme="minorHAnsi"/>
                <w:b/>
                <w:noProof/>
                <w:sz w:val="22"/>
                <w:szCs w:val="22"/>
              </w:rPr>
              <w:t>Odjeljak C: Evaluacija</w:t>
            </w:r>
          </w:p>
        </w:tc>
      </w:tr>
    </w:tbl>
    <w:p w14:paraId="4594EA7A" w14:textId="77777777" w:rsidR="007E3E05" w:rsidRPr="0086255B" w:rsidRDefault="007E3E05" w:rsidP="007E3E05">
      <w:pPr>
        <w:spacing w:before="120" w:after="120"/>
        <w:jc w:val="both"/>
        <w:rPr>
          <w:rFonts w:cstheme="minorHAnsi"/>
          <w:i/>
          <w:iCs/>
          <w:noProof/>
        </w:rPr>
      </w:pPr>
      <w:r w:rsidRPr="0086255B">
        <w:rPr>
          <w:rFonts w:cstheme="minorHAnsi"/>
          <w:i/>
          <w:noProof/>
        </w:rPr>
        <w:t>Za unos podataka u ovom odjeljku vidjeti tačku 76 podtačku (a) i odjeljak 5 (tačke od 455 do 463) CEEAG-a.</w:t>
      </w:r>
    </w:p>
    <w:p w14:paraId="7CF4310B"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9"/>
      </w:r>
      <w:r w:rsidRPr="0086255B">
        <w:rPr>
          <w:rFonts w:asciiTheme="minorHAnsi" w:hAnsiTheme="minorHAnsi" w:cstheme="minorHAnsi"/>
          <w:noProof/>
          <w:sz w:val="22"/>
        </w:rPr>
        <w:t>.</w:t>
      </w:r>
    </w:p>
    <w:p w14:paraId="3F0A7453"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lastRenderedPageBreak/>
        <w:tab/>
      </w:r>
    </w:p>
    <w:p w14:paraId="0F1D5B6A"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74489B04" w14:textId="77777777" w:rsidR="007E3E05" w:rsidRPr="0086255B" w:rsidRDefault="007E3E05" w:rsidP="007E3E05">
      <w:pPr>
        <w:pStyle w:val="Point1letter"/>
        <w:numPr>
          <w:ilvl w:val="3"/>
          <w:numId w:val="1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rezime ovog nacrta plana evaluacije iz Priloga;</w:t>
      </w:r>
    </w:p>
    <w:p w14:paraId="206FDA6C"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7E1B1F59" w14:textId="77777777" w:rsidR="007E3E05" w:rsidRPr="0086255B" w:rsidRDefault="007E3E05" w:rsidP="007E3E05">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718E896C"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043AEA40" w14:textId="77777777" w:rsidR="007E3E05" w:rsidRPr="0086255B" w:rsidRDefault="007E3E05" w:rsidP="007E3E05">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63395005"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28BFC78E"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6057501A"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10A8D428"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37DFCCC9"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1FC01516"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26F5AD35" w14:textId="77777777" w:rsidR="007E3E05" w:rsidRPr="0086255B" w:rsidRDefault="007E3E05" w:rsidP="007E3E05">
      <w:pPr>
        <w:pStyle w:val="Point1letter"/>
        <w:numPr>
          <w:ilvl w:val="3"/>
          <w:numId w:val="1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A029748"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10727482" w14:textId="77777777" w:rsidR="007E3E05" w:rsidRPr="0086255B" w:rsidRDefault="007E3E05" w:rsidP="007E3E05">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11EC606B"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343B9D66" w14:textId="77777777" w:rsidR="007E3E05" w:rsidRPr="0086255B" w:rsidRDefault="007E3E05" w:rsidP="007E3E05">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6E121231"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650CE39"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25043441" w14:textId="77777777" w:rsidR="007E3E05" w:rsidRPr="0086255B" w:rsidRDefault="007E3E05" w:rsidP="007E3E05">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2D556965"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p w14:paraId="40B921FB" w14:textId="77777777" w:rsidR="007E3E05" w:rsidRPr="0086255B" w:rsidRDefault="007E3E05" w:rsidP="007E3E05">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19596F4E" w14:textId="77777777" w:rsidR="007E3E05" w:rsidRPr="0086255B" w:rsidRDefault="007E3E05" w:rsidP="007E3E05">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7E3E05" w:rsidRPr="0086255B" w14:paraId="52DF0479" w14:textId="77777777" w:rsidTr="00D507D9">
        <w:tc>
          <w:tcPr>
            <w:tcW w:w="5000" w:type="pct"/>
            <w:shd w:val="pct15" w:color="auto" w:fill="auto"/>
          </w:tcPr>
          <w:p w14:paraId="170FC400" w14:textId="77777777" w:rsidR="007E3E05" w:rsidRPr="0086255B" w:rsidRDefault="007E3E05" w:rsidP="00D507D9">
            <w:pPr>
              <w:spacing w:before="120" w:after="120"/>
              <w:jc w:val="both"/>
              <w:rPr>
                <w:rFonts w:cstheme="minorHAnsi"/>
                <w:b/>
                <w:iCs/>
                <w:noProof/>
                <w:lang w:eastAsia="hr-HR" w:bidi="hr-HR"/>
              </w:rPr>
            </w:pPr>
            <w:r w:rsidRPr="0086255B">
              <w:rPr>
                <w:rFonts w:cstheme="minorHAnsi"/>
                <w:b/>
                <w:noProof/>
                <w:lang w:eastAsia="hr-HR" w:bidi="hr-HR"/>
              </w:rPr>
              <w:lastRenderedPageBreak/>
              <w:t>Odjeljak D: Izvještavanje i praćenje</w:t>
            </w:r>
          </w:p>
        </w:tc>
      </w:tr>
    </w:tbl>
    <w:p w14:paraId="50BB72F1" w14:textId="77777777" w:rsidR="007E3E05" w:rsidRPr="0086255B" w:rsidRDefault="007E3E05" w:rsidP="007E3E05">
      <w:pPr>
        <w:spacing w:before="120" w:after="120"/>
        <w:jc w:val="both"/>
        <w:rPr>
          <w:rFonts w:cstheme="minorHAnsi"/>
          <w:i/>
          <w:iCs/>
          <w:noProof/>
        </w:rPr>
      </w:pPr>
      <w:r w:rsidRPr="0086255B">
        <w:rPr>
          <w:rFonts w:cstheme="minorHAnsi"/>
          <w:i/>
          <w:noProof/>
        </w:rPr>
        <w:t>Za unos podataka u ovom odjeljku vidjeti odjeljak 6 (tačke 464 i 465) CEEAG-a.</w:t>
      </w:r>
    </w:p>
    <w:p w14:paraId="4235715A" w14:textId="77777777" w:rsidR="007E3E05" w:rsidRPr="0086255B" w:rsidRDefault="007E3E05" w:rsidP="007E3E05">
      <w:pPr>
        <w:pStyle w:val="NumPar1"/>
        <w:numPr>
          <w:ilvl w:val="0"/>
          <w:numId w:val="6"/>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695C9B81" w14:textId="77777777" w:rsidR="007E3E05" w:rsidRPr="007E3E05" w:rsidRDefault="007E3E05" w:rsidP="007E3E05">
      <w:pPr>
        <w:tabs>
          <w:tab w:val="left" w:leader="dot" w:pos="9072"/>
        </w:tabs>
        <w:spacing w:after="120"/>
        <w:rPr>
          <w:rFonts w:cstheme="minorHAnsi"/>
          <w:noProof/>
        </w:rPr>
      </w:pPr>
      <w:bookmarkStart w:id="0" w:name="_GoBack"/>
      <w:bookmarkEnd w:id="0"/>
      <w:r w:rsidRPr="007E3E05">
        <w:rPr>
          <w:rFonts w:cstheme="minorHAnsi"/>
          <w:noProof/>
        </w:rPr>
        <w:tab/>
      </w:r>
    </w:p>
    <w:p w14:paraId="142DD489" w14:textId="174A4F75" w:rsidR="001E27D7" w:rsidRDefault="007E3E05" w:rsidP="007E3E05">
      <w:r w:rsidRPr="0086255B">
        <w:rPr>
          <w:rFonts w:cstheme="minorHAnsi"/>
          <w:noProof/>
        </w:rPr>
        <w:tab/>
      </w:r>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B7EF0" w14:textId="77777777" w:rsidR="00AB65BF" w:rsidRDefault="00AB65BF" w:rsidP="007E3E05">
      <w:pPr>
        <w:spacing w:after="0" w:line="240" w:lineRule="auto"/>
      </w:pPr>
      <w:r>
        <w:separator/>
      </w:r>
    </w:p>
  </w:endnote>
  <w:endnote w:type="continuationSeparator" w:id="0">
    <w:p w14:paraId="2BA6B1EB" w14:textId="77777777" w:rsidR="00AB65BF" w:rsidRDefault="00AB65BF" w:rsidP="007E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7EBA" w14:textId="77777777" w:rsidR="00AB65BF" w:rsidRDefault="00AB65BF" w:rsidP="007E3E05">
      <w:pPr>
        <w:spacing w:after="0" w:line="240" w:lineRule="auto"/>
      </w:pPr>
      <w:r>
        <w:separator/>
      </w:r>
    </w:p>
  </w:footnote>
  <w:footnote w:type="continuationSeparator" w:id="0">
    <w:p w14:paraId="4BAF44EF" w14:textId="77777777" w:rsidR="00AB65BF" w:rsidRDefault="00AB65BF" w:rsidP="007E3E05">
      <w:pPr>
        <w:spacing w:after="0" w:line="240" w:lineRule="auto"/>
      </w:pPr>
      <w:r>
        <w:continuationSeparator/>
      </w:r>
    </w:p>
  </w:footnote>
  <w:footnote w:id="1">
    <w:p w14:paraId="18D6F31A" w14:textId="77777777" w:rsidR="007E3E05" w:rsidRPr="004E6EC5" w:rsidRDefault="007E3E05" w:rsidP="007E3E05">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sidRPr="001D3786">
        <w:rPr>
          <w:rFonts w:asciiTheme="minorHAnsi" w:hAnsiTheme="minorHAnsi" w:cstheme="minorHAnsi"/>
        </w:rPr>
        <w:tab/>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0938FDBF" w14:textId="77777777" w:rsidR="007E3E05" w:rsidRPr="009960B4" w:rsidRDefault="007E3E05" w:rsidP="007E3E05">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r>
        <w:rPr>
          <w:rFonts w:asciiTheme="minorHAnsi" w:hAnsiTheme="minorHAnsi" w:cstheme="minorHAnsi"/>
        </w:rPr>
        <w:t xml:space="preserve"> </w:t>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6A6B3EEF" w14:textId="77777777" w:rsidR="007E3E05" w:rsidRPr="001F1852" w:rsidRDefault="007E3E05" w:rsidP="007E3E05">
      <w:pPr>
        <w:pStyle w:val="FootnoteText"/>
        <w:spacing w:before="0"/>
        <w:ind w:left="0" w:firstLine="0"/>
        <w:contextualSpacing/>
        <w:rPr>
          <w:rFonts w:asciiTheme="minorHAnsi" w:hAnsiTheme="minorHAnsi" w:cstheme="minorHAnsi"/>
        </w:rPr>
      </w:pPr>
      <w:r w:rsidRPr="001F1852">
        <w:rPr>
          <w:rStyle w:val="FootnoteReference"/>
          <w:rFonts w:asciiTheme="minorHAnsi" w:hAnsiTheme="minorHAnsi" w:cstheme="minorHAnsi"/>
        </w:rPr>
        <w:footnoteRef/>
      </w:r>
      <w:r w:rsidRPr="001F1852">
        <w:rPr>
          <w:rFonts w:asciiTheme="minorHAnsi" w:hAnsiTheme="minorHAnsi" w:cstheme="minorHAnsi"/>
        </w:rPr>
        <w:t xml:space="preserve"> </w:t>
      </w:r>
      <w:proofErr w:type="spellStart"/>
      <w:r w:rsidRPr="001F1852">
        <w:rPr>
          <w:rFonts w:asciiTheme="minorHAnsi" w:hAnsiTheme="minorHAnsi" w:cstheme="minorHAnsi"/>
        </w:rPr>
        <w:t>Vidjeti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presudu</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Suda</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pravde</w:t>
      </w:r>
      <w:proofErr w:type="spellEnd"/>
      <w:r w:rsidRPr="001F1852">
        <w:rPr>
          <w:rFonts w:asciiTheme="minorHAnsi" w:hAnsiTheme="minorHAnsi" w:cstheme="minorHAnsi"/>
        </w:rPr>
        <w:t xml:space="preserve"> od 13. </w:t>
      </w:r>
      <w:proofErr w:type="spellStart"/>
      <w:r w:rsidRPr="001F1852">
        <w:rPr>
          <w:rFonts w:asciiTheme="minorHAnsi" w:hAnsiTheme="minorHAnsi" w:cstheme="minorHAnsi"/>
        </w:rPr>
        <w:t>juna</w:t>
      </w:r>
      <w:proofErr w:type="spellEnd"/>
      <w:r w:rsidRPr="001F1852">
        <w:rPr>
          <w:rFonts w:asciiTheme="minorHAnsi" w:hAnsiTheme="minorHAnsi" w:cstheme="minorHAnsi"/>
        </w:rPr>
        <w:t xml:space="preserve"> 2013, HGA i </w:t>
      </w:r>
      <w:proofErr w:type="spellStart"/>
      <w:r w:rsidRPr="001F1852">
        <w:rPr>
          <w:rFonts w:asciiTheme="minorHAnsi" w:hAnsiTheme="minorHAnsi" w:cstheme="minorHAnsi"/>
        </w:rPr>
        <w:t>drugi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protiv</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Komisije</w:t>
      </w:r>
      <w:proofErr w:type="spellEnd"/>
      <w:r w:rsidRPr="001F1852">
        <w:rPr>
          <w:rFonts w:asciiTheme="minorHAnsi" w:hAnsiTheme="minorHAnsi" w:cstheme="minorHAnsi"/>
        </w:rPr>
        <w:t xml:space="preserve">, C-630/11 P do C-633/11 P, ECLI:EU:C:2013:387, </w:t>
      </w:r>
      <w:proofErr w:type="spellStart"/>
      <w:r w:rsidRPr="001F1852">
        <w:rPr>
          <w:rFonts w:asciiTheme="minorHAnsi" w:hAnsiTheme="minorHAnsi" w:cstheme="minorHAnsi"/>
        </w:rPr>
        <w:t>tačka</w:t>
      </w:r>
      <w:proofErr w:type="spellEnd"/>
      <w:r w:rsidRPr="001F1852">
        <w:rPr>
          <w:rFonts w:asciiTheme="minorHAnsi" w:hAnsiTheme="minorHAnsi" w:cstheme="minorHAnsi"/>
        </w:rPr>
        <w:t xml:space="preserve"> 104.</w:t>
      </w:r>
    </w:p>
  </w:footnote>
  <w:footnote w:id="4">
    <w:p w14:paraId="2F5A39A8" w14:textId="77777777" w:rsidR="007E3E05" w:rsidRPr="001F1852" w:rsidRDefault="007E3E05" w:rsidP="007E3E05">
      <w:pPr>
        <w:pStyle w:val="FootnoteText"/>
        <w:spacing w:before="0"/>
        <w:ind w:left="0" w:firstLine="0"/>
        <w:contextualSpacing/>
        <w:rPr>
          <w:rFonts w:asciiTheme="minorHAnsi" w:hAnsiTheme="minorHAnsi" w:cstheme="minorHAnsi"/>
          <w:lang w:val="sr-Latn-RS"/>
        </w:rPr>
      </w:pPr>
      <w:r w:rsidRPr="001F1852">
        <w:rPr>
          <w:rStyle w:val="FootnoteReference"/>
          <w:rFonts w:asciiTheme="minorHAnsi" w:hAnsiTheme="minorHAnsi" w:cstheme="minorHAnsi"/>
        </w:rPr>
        <w:footnoteRef/>
      </w:r>
      <w:r w:rsidRPr="001F1852">
        <w:rPr>
          <w:rFonts w:asciiTheme="minorHAnsi" w:hAnsiTheme="minorHAnsi" w:cstheme="minorHAnsi"/>
        </w:rPr>
        <w:t xml:space="preserve"> </w:t>
      </w:r>
      <w:proofErr w:type="spellStart"/>
      <w:r w:rsidRPr="001F1852">
        <w:rPr>
          <w:rFonts w:asciiTheme="minorHAnsi" w:hAnsiTheme="minorHAnsi" w:cstheme="minorHAnsi"/>
        </w:rPr>
        <w:t>Prema</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tački</w:t>
      </w:r>
      <w:proofErr w:type="spellEnd"/>
      <w:r w:rsidRPr="001F1852">
        <w:rPr>
          <w:rFonts w:asciiTheme="minorHAnsi" w:hAnsiTheme="minorHAnsi" w:cstheme="minorHAnsi"/>
        </w:rPr>
        <w:t xml:space="preserve"> 19 </w:t>
      </w:r>
      <w:proofErr w:type="spellStart"/>
      <w:r w:rsidRPr="001F1852">
        <w:rPr>
          <w:rFonts w:asciiTheme="minorHAnsi" w:hAnsiTheme="minorHAnsi" w:cstheme="minorHAnsi"/>
        </w:rPr>
        <w:t>podtačka</w:t>
      </w:r>
      <w:proofErr w:type="spellEnd"/>
      <w:r w:rsidRPr="001F1852">
        <w:rPr>
          <w:rFonts w:asciiTheme="minorHAnsi" w:hAnsiTheme="minorHAnsi" w:cstheme="minorHAnsi"/>
        </w:rPr>
        <w:t xml:space="preserve"> 63 CEEAG-a „</w:t>
      </w:r>
      <w:proofErr w:type="spellStart"/>
      <w:r w:rsidRPr="001F1852">
        <w:rPr>
          <w:rFonts w:asciiTheme="minorHAnsi" w:hAnsiTheme="minorHAnsi" w:cstheme="minorHAnsi"/>
        </w:rPr>
        <w:t>referentni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projekt</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znači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primjer</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projekta</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koji</w:t>
      </w:r>
      <w:proofErr w:type="spellEnd"/>
      <w:r w:rsidRPr="001F1852">
        <w:rPr>
          <w:rFonts w:asciiTheme="minorHAnsi" w:hAnsiTheme="minorHAnsi" w:cstheme="minorHAnsi"/>
        </w:rPr>
        <w:t xml:space="preserve"> je </w:t>
      </w:r>
      <w:proofErr w:type="spellStart"/>
      <w:r w:rsidRPr="001F1852">
        <w:rPr>
          <w:rFonts w:asciiTheme="minorHAnsi" w:hAnsiTheme="minorHAnsi" w:cstheme="minorHAnsi"/>
        </w:rPr>
        <w:t>reprezentativan</w:t>
      </w:r>
      <w:proofErr w:type="spellEnd"/>
      <w:r w:rsidRPr="001F1852">
        <w:rPr>
          <w:rFonts w:asciiTheme="minorHAnsi" w:hAnsiTheme="minorHAnsi" w:cstheme="minorHAnsi"/>
        </w:rPr>
        <w:t xml:space="preserve"> za </w:t>
      </w:r>
      <w:proofErr w:type="spellStart"/>
      <w:r w:rsidRPr="001F1852">
        <w:rPr>
          <w:rFonts w:asciiTheme="minorHAnsi" w:hAnsiTheme="minorHAnsi" w:cstheme="minorHAnsi"/>
        </w:rPr>
        <w:t>prosječni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projekt</w:t>
      </w:r>
      <w:proofErr w:type="spellEnd"/>
      <w:r w:rsidRPr="001F1852">
        <w:rPr>
          <w:rFonts w:asciiTheme="minorHAnsi" w:hAnsiTheme="minorHAnsi" w:cstheme="minorHAnsi"/>
        </w:rPr>
        <w:t xml:space="preserve"> u </w:t>
      </w:r>
      <w:proofErr w:type="spellStart"/>
      <w:r w:rsidRPr="001F1852">
        <w:rPr>
          <w:rFonts w:asciiTheme="minorHAnsi" w:hAnsiTheme="minorHAnsi" w:cstheme="minorHAnsi"/>
        </w:rPr>
        <w:t>kategoriji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korisnika</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koji</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ispunjavaju</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uslove</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šeme</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pomoći</w:t>
      </w:r>
      <w:proofErr w:type="spellEnd"/>
      <w:r w:rsidRPr="001F1852">
        <w:rPr>
          <w:rFonts w:asciiTheme="minorHAnsi" w:hAnsiTheme="minorHAnsi" w:cstheme="minorHAnsi"/>
        </w:rPr>
        <w:t>.</w:t>
      </w:r>
    </w:p>
  </w:footnote>
  <w:footnote w:id="5">
    <w:p w14:paraId="3362ABE9" w14:textId="77777777" w:rsidR="007E3E05" w:rsidRPr="001F1852" w:rsidRDefault="007E3E05" w:rsidP="007E3E05">
      <w:pPr>
        <w:pStyle w:val="FootnoteText"/>
        <w:spacing w:before="0"/>
        <w:ind w:left="0" w:firstLine="0"/>
        <w:contextualSpacing/>
        <w:rPr>
          <w:rFonts w:asciiTheme="minorHAnsi" w:hAnsiTheme="minorHAnsi" w:cstheme="minorHAnsi"/>
        </w:rPr>
      </w:pPr>
      <w:r w:rsidRPr="001F1852">
        <w:rPr>
          <w:rStyle w:val="FootnoteReference"/>
          <w:rFonts w:asciiTheme="minorHAnsi" w:hAnsiTheme="minorHAnsi" w:cstheme="minorHAnsi"/>
        </w:rPr>
        <w:footnoteRef/>
      </w:r>
      <w:r w:rsidRPr="001F1852">
        <w:rPr>
          <w:rFonts w:asciiTheme="minorHAnsi" w:hAnsiTheme="minorHAnsi" w:cstheme="minorHAnsi"/>
        </w:rPr>
        <w:t xml:space="preserve"> </w:t>
      </w:r>
      <w:r w:rsidRPr="001F1852">
        <w:rPr>
          <w:rFonts w:asciiTheme="minorHAnsi" w:hAnsiTheme="minorHAnsi" w:cstheme="minorHAnsi"/>
        </w:rPr>
        <w:tab/>
      </w:r>
      <w:r w:rsidRPr="001F1852">
        <w:rPr>
          <w:rFonts w:asciiTheme="minorHAnsi" w:hAnsiTheme="minorHAnsi" w:cstheme="minorHAnsi"/>
        </w:rPr>
        <w:t xml:space="preserve">U </w:t>
      </w:r>
      <w:proofErr w:type="spellStart"/>
      <w:r w:rsidRPr="001F1852">
        <w:rPr>
          <w:rFonts w:asciiTheme="minorHAnsi" w:hAnsiTheme="minorHAnsi" w:cstheme="minorHAnsi"/>
        </w:rPr>
        <w:t>skladu</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sa</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tačkom</w:t>
      </w:r>
      <w:proofErr w:type="spellEnd"/>
      <w:r w:rsidRPr="001F1852">
        <w:rPr>
          <w:rFonts w:asciiTheme="minorHAnsi" w:hAnsiTheme="minorHAnsi" w:cstheme="minorHAnsi"/>
        </w:rPr>
        <w:t xml:space="preserve"> 19 </w:t>
      </w:r>
      <w:proofErr w:type="spellStart"/>
      <w:r w:rsidRPr="001F1852">
        <w:rPr>
          <w:rFonts w:asciiTheme="minorHAnsi" w:hAnsiTheme="minorHAnsi" w:cstheme="minorHAnsi"/>
        </w:rPr>
        <w:t>podtačka</w:t>
      </w:r>
      <w:proofErr w:type="spellEnd"/>
      <w:r w:rsidRPr="001F1852">
        <w:rPr>
          <w:rFonts w:asciiTheme="minorHAnsi" w:hAnsiTheme="minorHAnsi" w:cstheme="minorHAnsi"/>
        </w:rPr>
        <w:t xml:space="preserve"> 89 CEEAG-a „</w:t>
      </w:r>
      <w:proofErr w:type="spellStart"/>
      <w:r w:rsidRPr="001F1852">
        <w:rPr>
          <w:rFonts w:asciiTheme="minorHAnsi" w:hAnsiTheme="minorHAnsi" w:cstheme="minorHAnsi"/>
        </w:rPr>
        <w:t>norma</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Unije</w:t>
      </w:r>
      <w:proofErr w:type="spellEnd"/>
      <w:r w:rsidRPr="001F1852">
        <w:rPr>
          <w:rFonts w:asciiTheme="minorHAnsi" w:hAnsiTheme="minorHAnsi" w:cstheme="minorHAnsi"/>
        </w:rPr>
        <w:t xml:space="preserve">” </w:t>
      </w:r>
      <w:proofErr w:type="spellStart"/>
      <w:r w:rsidRPr="001F1852">
        <w:rPr>
          <w:rFonts w:asciiTheme="minorHAnsi" w:hAnsiTheme="minorHAnsi" w:cstheme="minorHAnsi"/>
        </w:rPr>
        <w:t>znači</w:t>
      </w:r>
      <w:proofErr w:type="spellEnd"/>
      <w:r w:rsidRPr="001F1852">
        <w:rPr>
          <w:rFonts w:asciiTheme="minorHAnsi" w:hAnsiTheme="minorHAnsi" w:cstheme="minorHAnsi"/>
        </w:rPr>
        <w:t>:</w:t>
      </w:r>
    </w:p>
    <w:p w14:paraId="6B69E73A" w14:textId="77777777" w:rsidR="007E3E05" w:rsidRDefault="007E3E05" w:rsidP="007E3E05">
      <w:pPr>
        <w:pStyle w:val="FootnoteText"/>
        <w:numPr>
          <w:ilvl w:val="0"/>
          <w:numId w:val="10"/>
        </w:numPr>
        <w:spacing w:before="0" w:after="0"/>
        <w:ind w:left="720"/>
        <w:contextualSpacing/>
        <w:rPr>
          <w:rFonts w:asciiTheme="minorHAnsi" w:hAnsiTheme="minorHAnsi" w:cstheme="minorHAnsi"/>
          <w:i/>
        </w:rPr>
      </w:pPr>
      <w:r>
        <w:rPr>
          <w:rFonts w:asciiTheme="minorHAnsi" w:hAnsiTheme="minorHAnsi" w:cstheme="minorHAnsi"/>
          <w:i/>
        </w:rPr>
        <w:t xml:space="preserve"> </w:t>
      </w: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58D89740" w14:textId="77777777" w:rsidR="007E3E05" w:rsidRPr="00324F67" w:rsidRDefault="007E3E05" w:rsidP="007E3E05">
      <w:pPr>
        <w:pStyle w:val="FootnoteText"/>
        <w:numPr>
          <w:ilvl w:val="0"/>
          <w:numId w:val="10"/>
        </w:numPr>
        <w:spacing w:before="0" w:after="0"/>
        <w:ind w:left="720"/>
        <w:contextualSpacing/>
        <w:rPr>
          <w:rFonts w:asciiTheme="minorHAnsi" w:hAnsiTheme="minorHAnsi" w:cstheme="minorHAnsi"/>
          <w:i/>
        </w:rPr>
      </w:pPr>
      <w:proofErr w:type="spellStart"/>
      <w:r w:rsidRPr="00324F67">
        <w:rPr>
          <w:rFonts w:asciiTheme="minorHAnsi" w:hAnsiTheme="minorHAnsi" w:cstheme="minorHAnsi"/>
          <w:i/>
        </w:rPr>
        <w:t>obaveza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upotrebe</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najboljih</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raspoloživih</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tehnika</w:t>
      </w:r>
      <w:proofErr w:type="spellEnd"/>
      <w:r w:rsidRPr="00324F67">
        <w:rPr>
          <w:rFonts w:asciiTheme="minorHAnsi" w:hAnsiTheme="minorHAnsi" w:cstheme="minorHAnsi"/>
          <w:i/>
        </w:rPr>
        <w:t xml:space="preserve"> (BAT), </w:t>
      </w:r>
      <w:proofErr w:type="spellStart"/>
      <w:r w:rsidRPr="00324F67">
        <w:rPr>
          <w:rFonts w:asciiTheme="minorHAnsi" w:hAnsiTheme="minorHAnsi" w:cstheme="minorHAnsi"/>
          <w:i/>
        </w:rPr>
        <w:t>kako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su</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definisane</w:t>
      </w:r>
      <w:proofErr w:type="spellEnd"/>
      <w:r w:rsidRPr="00324F67">
        <w:rPr>
          <w:rFonts w:asciiTheme="minorHAnsi" w:hAnsiTheme="minorHAnsi" w:cstheme="minorHAnsi"/>
          <w:i/>
        </w:rPr>
        <w:t xml:space="preserve"> u </w:t>
      </w:r>
      <w:proofErr w:type="spellStart"/>
      <w:r w:rsidRPr="00324F67">
        <w:rPr>
          <w:rFonts w:asciiTheme="minorHAnsi" w:hAnsiTheme="minorHAnsi" w:cstheme="minorHAnsi"/>
          <w:i/>
        </w:rPr>
        <w:t>Direktivi</w:t>
      </w:r>
      <w:proofErr w:type="spellEnd"/>
      <w:r w:rsidRPr="00324F67">
        <w:rPr>
          <w:rFonts w:asciiTheme="minorHAnsi" w:hAnsiTheme="minorHAnsi" w:cstheme="minorHAnsi"/>
          <w:i/>
        </w:rPr>
        <w:t xml:space="preserve"> 2010/75/EU, i </w:t>
      </w:r>
      <w:proofErr w:type="spellStart"/>
      <w:r w:rsidRPr="00324F67">
        <w:rPr>
          <w:rFonts w:asciiTheme="minorHAnsi" w:hAnsiTheme="minorHAnsi" w:cstheme="minorHAnsi"/>
          <w:i/>
        </w:rPr>
        <w:t>osiguravanea</w:t>
      </w:r>
      <w:proofErr w:type="spellEnd"/>
      <w:r w:rsidRPr="00324F67">
        <w:rPr>
          <w:rFonts w:asciiTheme="minorHAnsi" w:hAnsiTheme="minorHAnsi" w:cstheme="minorHAnsi"/>
          <w:i/>
        </w:rPr>
        <w:t xml:space="preserve"> da </w:t>
      </w:r>
      <w:proofErr w:type="spellStart"/>
      <w:r w:rsidRPr="00324F67">
        <w:rPr>
          <w:rFonts w:asciiTheme="minorHAnsi" w:hAnsiTheme="minorHAnsi" w:cstheme="minorHAnsi"/>
          <w:i/>
        </w:rPr>
        <w:t>nivoi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emisija</w:t>
      </w:r>
      <w:proofErr w:type="spellEnd"/>
      <w:r w:rsidRPr="00324F67">
        <w:rPr>
          <w:rFonts w:asciiTheme="minorHAnsi" w:hAnsiTheme="minorHAnsi" w:cstheme="minorHAnsi"/>
          <w:i/>
        </w:rPr>
        <w:t xml:space="preserve"> ne </w:t>
      </w:r>
      <w:proofErr w:type="spellStart"/>
      <w:r w:rsidRPr="00324F67">
        <w:rPr>
          <w:rFonts w:asciiTheme="minorHAnsi" w:hAnsiTheme="minorHAnsi" w:cstheme="minorHAnsi"/>
          <w:i/>
        </w:rPr>
        <w:t>prelaze</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nivoe</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koji</w:t>
      </w:r>
      <w:proofErr w:type="spellEnd"/>
      <w:r w:rsidRPr="00324F67">
        <w:rPr>
          <w:rFonts w:asciiTheme="minorHAnsi" w:hAnsiTheme="minorHAnsi" w:cstheme="minorHAnsi"/>
          <w:i/>
        </w:rPr>
        <w:t xml:space="preserve"> bi se </w:t>
      </w:r>
      <w:proofErr w:type="spellStart"/>
      <w:r w:rsidRPr="00324F67">
        <w:rPr>
          <w:rFonts w:asciiTheme="minorHAnsi" w:hAnsiTheme="minorHAnsi" w:cstheme="minorHAnsi"/>
          <w:i/>
        </w:rPr>
        <w:t>postigli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uz</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primjenu</w:t>
      </w:r>
      <w:proofErr w:type="spellEnd"/>
      <w:r w:rsidRPr="00324F67">
        <w:rPr>
          <w:rFonts w:asciiTheme="minorHAnsi" w:hAnsiTheme="minorHAnsi" w:cstheme="minorHAnsi"/>
          <w:i/>
        </w:rPr>
        <w:t xml:space="preserve"> BAT-a; </w:t>
      </w:r>
      <w:proofErr w:type="spellStart"/>
      <w:r w:rsidRPr="00324F67">
        <w:rPr>
          <w:rFonts w:asciiTheme="minorHAnsi" w:hAnsiTheme="minorHAnsi" w:cstheme="minorHAnsi"/>
          <w:i/>
        </w:rPr>
        <w:t>ako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su</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nivoi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emisija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povezani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sa</w:t>
      </w:r>
      <w:proofErr w:type="spellEnd"/>
      <w:r w:rsidRPr="00324F67">
        <w:rPr>
          <w:rFonts w:asciiTheme="minorHAnsi" w:hAnsiTheme="minorHAnsi" w:cstheme="minorHAnsi"/>
          <w:i/>
        </w:rPr>
        <w:t xml:space="preserve"> BAT-om </w:t>
      </w:r>
      <w:proofErr w:type="spellStart"/>
      <w:r w:rsidRPr="00324F67">
        <w:rPr>
          <w:rFonts w:asciiTheme="minorHAnsi" w:hAnsiTheme="minorHAnsi" w:cstheme="minorHAnsi"/>
          <w:i/>
        </w:rPr>
        <w:t>utvrđeni</w:t>
      </w:r>
      <w:proofErr w:type="spellEnd"/>
      <w:r w:rsidRPr="00324F67">
        <w:rPr>
          <w:rFonts w:asciiTheme="minorHAnsi" w:hAnsiTheme="minorHAnsi" w:cstheme="minorHAnsi"/>
          <w:i/>
        </w:rPr>
        <w:t xml:space="preserve"> u </w:t>
      </w:r>
      <w:proofErr w:type="spellStart"/>
      <w:r w:rsidRPr="00324F67">
        <w:rPr>
          <w:rFonts w:asciiTheme="minorHAnsi" w:hAnsiTheme="minorHAnsi" w:cstheme="minorHAnsi"/>
          <w:i/>
        </w:rPr>
        <w:t>implementacionim</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aktima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donesenima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na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osnovu</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Direktive</w:t>
      </w:r>
      <w:proofErr w:type="spellEnd"/>
      <w:r w:rsidRPr="00324F67">
        <w:rPr>
          <w:rFonts w:asciiTheme="minorHAnsi" w:hAnsiTheme="minorHAnsi" w:cstheme="minorHAnsi"/>
          <w:i/>
        </w:rPr>
        <w:t xml:space="preserve"> 2010/75/EU </w:t>
      </w:r>
      <w:proofErr w:type="spellStart"/>
      <w:r w:rsidRPr="00324F67">
        <w:rPr>
          <w:rFonts w:asciiTheme="minorHAnsi" w:hAnsiTheme="minorHAnsi" w:cstheme="minorHAnsi"/>
          <w:i/>
        </w:rPr>
        <w:t>ili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drugih</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važećih</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direktiva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ti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nivoi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će</w:t>
      </w:r>
      <w:proofErr w:type="spellEnd"/>
      <w:r w:rsidRPr="00324F67">
        <w:rPr>
          <w:rFonts w:asciiTheme="minorHAnsi" w:hAnsiTheme="minorHAnsi" w:cstheme="minorHAnsi"/>
          <w:i/>
        </w:rPr>
        <w:t xml:space="preserve"> se </w:t>
      </w:r>
      <w:proofErr w:type="spellStart"/>
      <w:r w:rsidRPr="00324F67">
        <w:rPr>
          <w:rFonts w:asciiTheme="minorHAnsi" w:hAnsiTheme="minorHAnsi" w:cstheme="minorHAnsi"/>
          <w:i/>
        </w:rPr>
        <w:t>primjenjivati</w:t>
      </w:r>
      <w:proofErr w:type="spellEnd"/>
      <w:r w:rsidRPr="00324F67">
        <w:rPr>
          <w:rFonts w:asciiTheme="minorHAnsi" w:hAnsiTheme="minorHAnsi" w:cstheme="minorHAnsi"/>
          <w:i/>
        </w:rPr>
        <w:t xml:space="preserve"> za </w:t>
      </w:r>
      <w:proofErr w:type="spellStart"/>
      <w:r w:rsidRPr="00324F67">
        <w:rPr>
          <w:rFonts w:asciiTheme="minorHAnsi" w:hAnsiTheme="minorHAnsi" w:cstheme="minorHAnsi"/>
          <w:i/>
        </w:rPr>
        <w:t>potrebe</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ovih</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Smjernica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ako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su</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ti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nivoi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izraženi</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kao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raspon</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primjenjivaće</w:t>
      </w:r>
      <w:proofErr w:type="spellEnd"/>
      <w:r w:rsidRPr="00324F67">
        <w:rPr>
          <w:rFonts w:asciiTheme="minorHAnsi" w:hAnsiTheme="minorHAnsi" w:cstheme="minorHAnsi"/>
          <w:i/>
        </w:rPr>
        <w:t xml:space="preserve"> se </w:t>
      </w:r>
      <w:proofErr w:type="spellStart"/>
      <w:r w:rsidRPr="00324F67">
        <w:rPr>
          <w:rFonts w:asciiTheme="minorHAnsi" w:hAnsiTheme="minorHAnsi" w:cstheme="minorHAnsi"/>
          <w:i/>
        </w:rPr>
        <w:t>granična</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vrijednost</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koju</w:t>
      </w:r>
      <w:proofErr w:type="spellEnd"/>
      <w:r w:rsidRPr="00324F67">
        <w:rPr>
          <w:rFonts w:asciiTheme="minorHAnsi" w:hAnsiTheme="minorHAnsi" w:cstheme="minorHAnsi"/>
          <w:i/>
        </w:rPr>
        <w:t xml:space="preserve"> je BAT </w:t>
      </w:r>
      <w:proofErr w:type="spellStart"/>
      <w:r w:rsidRPr="00324F67">
        <w:rPr>
          <w:rFonts w:asciiTheme="minorHAnsi" w:hAnsiTheme="minorHAnsi" w:cstheme="minorHAnsi"/>
          <w:i/>
        </w:rPr>
        <w:t>prvo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postigla</w:t>
      </w:r>
      <w:proofErr w:type="spellEnd"/>
      <w:r w:rsidRPr="00324F67">
        <w:rPr>
          <w:rFonts w:asciiTheme="minorHAnsi" w:hAnsiTheme="minorHAnsi" w:cstheme="minorHAnsi"/>
          <w:i/>
        </w:rPr>
        <w:t xml:space="preserve"> za </w:t>
      </w:r>
      <w:proofErr w:type="spellStart"/>
      <w:r w:rsidRPr="00324F67">
        <w:rPr>
          <w:rFonts w:asciiTheme="minorHAnsi" w:hAnsiTheme="minorHAnsi" w:cstheme="minorHAnsi"/>
          <w:i/>
        </w:rPr>
        <w:t>predmetno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privredno</w:t>
      </w:r>
      <w:proofErr w:type="spellEnd"/>
      <w:r w:rsidRPr="00324F67">
        <w:rPr>
          <w:rFonts w:asciiTheme="minorHAnsi" w:hAnsiTheme="minorHAnsi" w:cstheme="minorHAnsi"/>
          <w:i/>
        </w:rPr>
        <w:t xml:space="preserve"> </w:t>
      </w:r>
      <w:proofErr w:type="spellStart"/>
      <w:r w:rsidRPr="00324F67">
        <w:rPr>
          <w:rFonts w:asciiTheme="minorHAnsi" w:hAnsiTheme="minorHAnsi" w:cstheme="minorHAnsi"/>
          <w:i/>
        </w:rPr>
        <w:t>društvo</w:t>
      </w:r>
      <w:proofErr w:type="spellEnd"/>
      <w:r w:rsidRPr="00324F67">
        <w:rPr>
          <w:rFonts w:asciiTheme="minorHAnsi" w:hAnsiTheme="minorHAnsi" w:cstheme="minorHAnsi"/>
          <w:i/>
        </w:rPr>
        <w:t>”.</w:t>
      </w:r>
    </w:p>
  </w:footnote>
  <w:footnote w:id="6">
    <w:p w14:paraId="082F63C5" w14:textId="77777777" w:rsidR="007E3E05" w:rsidRPr="00015B67" w:rsidRDefault="007E3E05" w:rsidP="007E3E05">
      <w:pPr>
        <w:pStyle w:val="FootnoteText"/>
        <w:spacing w:before="0" w:after="0"/>
        <w:ind w:left="0" w:firstLine="0"/>
        <w:rPr>
          <w:rFonts w:asciiTheme="minorHAnsi" w:hAnsiTheme="minorHAnsi" w:cstheme="minorHAnsi"/>
          <w:lang w:val="sr-Latn-RS"/>
        </w:rPr>
      </w:pPr>
      <w:r w:rsidRPr="00015B67">
        <w:rPr>
          <w:rStyle w:val="FootnoteReference"/>
          <w:rFonts w:asciiTheme="minorHAnsi" w:hAnsiTheme="minorHAnsi" w:cstheme="minorHAnsi"/>
        </w:rPr>
        <w:footnoteRef/>
      </w:r>
      <w:r w:rsidRPr="00015B67">
        <w:rPr>
          <w:rFonts w:asciiTheme="minorHAnsi" w:hAnsiTheme="minorHAnsi" w:cstheme="minorHAnsi"/>
        </w:rPr>
        <w:t xml:space="preserve"> </w:t>
      </w:r>
      <w:r w:rsidRPr="00015B67">
        <w:rPr>
          <w:rFonts w:asciiTheme="minorHAnsi" w:hAnsiTheme="minorHAnsi" w:cstheme="minorHAnsi"/>
        </w:rPr>
        <w:t xml:space="preserve">U </w:t>
      </w:r>
      <w:proofErr w:type="spellStart"/>
      <w:r w:rsidRPr="00015B67">
        <w:rPr>
          <w:rFonts w:asciiTheme="minorHAnsi" w:hAnsiTheme="minorHAnsi" w:cstheme="minorHAnsi"/>
        </w:rPr>
        <w:t>tački</w:t>
      </w:r>
      <w:proofErr w:type="spellEnd"/>
      <w:r w:rsidRPr="00015B67">
        <w:rPr>
          <w:rFonts w:asciiTheme="minorHAnsi" w:hAnsiTheme="minorHAnsi" w:cstheme="minorHAnsi"/>
        </w:rPr>
        <w:t xml:space="preserve"> 51 CEEAG-a </w:t>
      </w:r>
      <w:proofErr w:type="spellStart"/>
      <w:r w:rsidRPr="00015B67">
        <w:rPr>
          <w:rFonts w:asciiTheme="minorHAnsi" w:hAnsiTheme="minorHAnsi" w:cstheme="minorHAnsi"/>
        </w:rPr>
        <w:t>navodi</w:t>
      </w:r>
      <w:proofErr w:type="spellEnd"/>
      <w:r w:rsidRPr="00015B67">
        <w:rPr>
          <w:rFonts w:asciiTheme="minorHAnsi" w:hAnsiTheme="minorHAnsi" w:cstheme="minorHAnsi"/>
        </w:rPr>
        <w:t xml:space="preserve"> se </w:t>
      </w:r>
      <w:proofErr w:type="spellStart"/>
      <w:r w:rsidRPr="00015B67">
        <w:rPr>
          <w:rFonts w:asciiTheme="minorHAnsi" w:hAnsiTheme="minorHAnsi" w:cstheme="minorHAnsi"/>
        </w:rPr>
        <w:t>sljedeće</w:t>
      </w:r>
      <w:proofErr w:type="spellEnd"/>
      <w:r w:rsidRPr="00015B67">
        <w:rPr>
          <w:rFonts w:asciiTheme="minorHAnsi" w:hAnsiTheme="minorHAnsi" w:cstheme="minorHAnsi"/>
        </w:rPr>
        <w:t>: „</w:t>
      </w:r>
      <w:proofErr w:type="spellStart"/>
      <w:r w:rsidRPr="00015B67">
        <w:rPr>
          <w:rFonts w:asciiTheme="minorHAnsi" w:hAnsiTheme="minorHAnsi" w:cstheme="minorHAnsi"/>
        </w:rPr>
        <w:t>Uobičajeni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neto</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dodatni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trošak</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može</w:t>
      </w:r>
      <w:proofErr w:type="spellEnd"/>
      <w:r w:rsidRPr="00015B67">
        <w:rPr>
          <w:rFonts w:asciiTheme="minorHAnsi" w:hAnsiTheme="minorHAnsi" w:cstheme="minorHAnsi"/>
        </w:rPr>
        <w:t xml:space="preserve"> se </w:t>
      </w:r>
      <w:proofErr w:type="spellStart"/>
      <w:r w:rsidRPr="00015B67">
        <w:rPr>
          <w:rFonts w:asciiTheme="minorHAnsi" w:hAnsiTheme="minorHAnsi" w:cstheme="minorHAnsi"/>
        </w:rPr>
        <w:t>procijeniti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kao</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razlika</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između</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neto</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sadašnje</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vrijednosti</w:t>
      </w:r>
      <w:proofErr w:type="spellEnd"/>
      <w:r w:rsidRPr="00015B67">
        <w:rPr>
          <w:rFonts w:asciiTheme="minorHAnsi" w:hAnsiTheme="minorHAnsi" w:cstheme="minorHAnsi"/>
        </w:rPr>
        <w:t xml:space="preserve"> za </w:t>
      </w:r>
      <w:proofErr w:type="spellStart"/>
      <w:r w:rsidRPr="00015B67">
        <w:rPr>
          <w:rFonts w:asciiTheme="minorHAnsi" w:hAnsiTheme="minorHAnsi" w:cstheme="minorHAnsi"/>
        </w:rPr>
        <w:t>činjenični</w:t>
      </w:r>
      <w:proofErr w:type="spellEnd"/>
      <w:r w:rsidRPr="00015B67">
        <w:rPr>
          <w:rFonts w:asciiTheme="minorHAnsi" w:hAnsiTheme="minorHAnsi" w:cstheme="minorHAnsi"/>
        </w:rPr>
        <w:t xml:space="preserve"> scenario i za </w:t>
      </w:r>
      <w:proofErr w:type="spellStart"/>
      <w:r w:rsidRPr="00015B67">
        <w:rPr>
          <w:rFonts w:asciiTheme="minorHAnsi" w:hAnsiTheme="minorHAnsi" w:cstheme="minorHAnsi"/>
        </w:rPr>
        <w:t>uporedni</w:t>
      </w:r>
      <w:proofErr w:type="spellEnd"/>
      <w:r w:rsidRPr="00015B67">
        <w:rPr>
          <w:rFonts w:asciiTheme="minorHAnsi" w:hAnsiTheme="minorHAnsi" w:cstheme="minorHAnsi"/>
        </w:rPr>
        <w:t xml:space="preserve"> scenario </w:t>
      </w:r>
      <w:proofErr w:type="spellStart"/>
      <w:r w:rsidRPr="00015B67">
        <w:rPr>
          <w:rFonts w:asciiTheme="minorHAnsi" w:hAnsiTheme="minorHAnsi" w:cstheme="minorHAnsi"/>
        </w:rPr>
        <w:t>tokom</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trajanja</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referentnog</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projekta</w:t>
      </w:r>
      <w:proofErr w:type="spellEnd"/>
      <w:r w:rsidRPr="00015B67">
        <w:rPr>
          <w:rFonts w:asciiTheme="minorHAnsi" w:hAnsiTheme="minorHAnsi" w:cstheme="minorHAnsi"/>
        </w:rPr>
        <w:t>.“</w:t>
      </w:r>
    </w:p>
  </w:footnote>
  <w:footnote w:id="7">
    <w:p w14:paraId="1D13372A" w14:textId="77777777" w:rsidR="007E3E05" w:rsidRPr="00015B67" w:rsidRDefault="007E3E05" w:rsidP="007E3E05">
      <w:pPr>
        <w:pStyle w:val="FootnoteText"/>
        <w:spacing w:before="0" w:after="0"/>
        <w:ind w:left="0" w:firstLine="0"/>
        <w:contextualSpacing/>
        <w:rPr>
          <w:rFonts w:asciiTheme="minorHAnsi" w:hAnsiTheme="minorHAnsi" w:cstheme="minorHAnsi"/>
          <w:lang w:val="sr-Latn-ME"/>
        </w:rPr>
      </w:pPr>
      <w:r w:rsidRPr="00015B67">
        <w:rPr>
          <w:rStyle w:val="FootnoteReference"/>
          <w:rFonts w:asciiTheme="minorHAnsi" w:hAnsiTheme="minorHAnsi" w:cstheme="minorHAnsi"/>
        </w:rPr>
        <w:footnoteRef/>
      </w:r>
      <w:r w:rsidRPr="00015B67">
        <w:rPr>
          <w:rFonts w:asciiTheme="minorHAnsi" w:hAnsiTheme="minorHAnsi" w:cstheme="minorHAnsi"/>
        </w:rPr>
        <w:t xml:space="preserve"> </w:t>
      </w:r>
      <w:r w:rsidRPr="00015B67">
        <w:rPr>
          <w:rFonts w:asciiTheme="minorHAnsi" w:hAnsiTheme="minorHAnsi" w:cstheme="minorHAnsi"/>
        </w:rPr>
        <w:t xml:space="preserve">U </w:t>
      </w:r>
      <w:proofErr w:type="spellStart"/>
      <w:r w:rsidRPr="00015B67">
        <w:rPr>
          <w:rFonts w:asciiTheme="minorHAnsi" w:hAnsiTheme="minorHAnsi" w:cstheme="minorHAnsi"/>
        </w:rPr>
        <w:t>skladu</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sa</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fusnotom</w:t>
      </w:r>
      <w:proofErr w:type="spellEnd"/>
      <w:r w:rsidRPr="00015B67">
        <w:rPr>
          <w:rFonts w:asciiTheme="minorHAnsi" w:hAnsiTheme="minorHAnsi" w:cstheme="minorHAnsi"/>
        </w:rPr>
        <w:t xml:space="preserve"> 46 CEEAG-a </w:t>
      </w:r>
      <w:proofErr w:type="spellStart"/>
      <w:r w:rsidRPr="00015B67">
        <w:rPr>
          <w:rFonts w:asciiTheme="minorHAnsi" w:hAnsiTheme="minorHAnsi" w:cstheme="minorHAnsi"/>
        </w:rPr>
        <w:t>napominjemo</w:t>
      </w:r>
      <w:proofErr w:type="spellEnd"/>
      <w:r w:rsidRPr="00015B67">
        <w:rPr>
          <w:rFonts w:asciiTheme="minorHAnsi" w:hAnsiTheme="minorHAnsi" w:cstheme="minorHAnsi"/>
        </w:rPr>
        <w:t xml:space="preserve"> da se „(</w:t>
      </w:r>
      <w:proofErr w:type="spellStart"/>
      <w:r w:rsidRPr="00015B67">
        <w:rPr>
          <w:rFonts w:asciiTheme="minorHAnsi" w:hAnsiTheme="minorHAnsi" w:cstheme="minorHAnsi"/>
        </w:rPr>
        <w:t>svi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relevantni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očekivani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troškovi</w:t>
      </w:r>
      <w:proofErr w:type="spellEnd"/>
      <w:r w:rsidRPr="00015B67">
        <w:rPr>
          <w:rFonts w:asciiTheme="minorHAnsi" w:hAnsiTheme="minorHAnsi" w:cstheme="minorHAnsi"/>
        </w:rPr>
        <w:t xml:space="preserve"> i </w:t>
      </w:r>
      <w:proofErr w:type="spellStart"/>
      <w:r w:rsidRPr="00015B67">
        <w:rPr>
          <w:rFonts w:asciiTheme="minorHAnsi" w:hAnsiTheme="minorHAnsi" w:cstheme="minorHAnsi"/>
        </w:rPr>
        <w:t>koristi</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moraju</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uzeti</w:t>
      </w:r>
      <w:proofErr w:type="spellEnd"/>
      <w:r w:rsidRPr="00015B67">
        <w:rPr>
          <w:rFonts w:asciiTheme="minorHAnsi" w:hAnsiTheme="minorHAnsi" w:cstheme="minorHAnsi"/>
        </w:rPr>
        <w:t xml:space="preserve">  u </w:t>
      </w:r>
      <w:proofErr w:type="spellStart"/>
      <w:r w:rsidRPr="00015B67">
        <w:rPr>
          <w:rFonts w:asciiTheme="minorHAnsi" w:hAnsiTheme="minorHAnsi" w:cstheme="minorHAnsi"/>
        </w:rPr>
        <w:t>obzir</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na</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vrijeme</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cjelokupnog</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trajanja</w:t>
      </w:r>
      <w:proofErr w:type="spellEnd"/>
      <w:r w:rsidRPr="00015B67">
        <w:rPr>
          <w:rFonts w:asciiTheme="minorHAnsi" w:hAnsiTheme="minorHAnsi" w:cstheme="minorHAnsi"/>
        </w:rPr>
        <w:t xml:space="preserve"> </w:t>
      </w:r>
      <w:proofErr w:type="spellStart"/>
      <w:r w:rsidRPr="00015B67">
        <w:rPr>
          <w:rFonts w:asciiTheme="minorHAnsi" w:hAnsiTheme="minorHAnsi" w:cstheme="minorHAnsi"/>
        </w:rPr>
        <w:t>projekta</w:t>
      </w:r>
      <w:proofErr w:type="spellEnd"/>
      <w:r w:rsidRPr="00015B67">
        <w:rPr>
          <w:rFonts w:asciiTheme="minorHAnsi" w:hAnsiTheme="minorHAnsi" w:cstheme="minorHAnsi"/>
        </w:rPr>
        <w:t>.“</w:t>
      </w:r>
    </w:p>
  </w:footnote>
  <w:footnote w:id="8">
    <w:p w14:paraId="0537FB63" w14:textId="77777777" w:rsidR="007E3E05" w:rsidRPr="00746E88" w:rsidRDefault="007E3E05" w:rsidP="007E3E05">
      <w:pPr>
        <w:pStyle w:val="FootnoteText"/>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sidRPr="00746E88">
        <w:rPr>
          <w:rFonts w:asciiTheme="minorHAnsi" w:hAnsiTheme="minorHAnsi" w:cstheme="minorHAnsi"/>
        </w:rPr>
        <w:tab/>
      </w:r>
      <w:r>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9">
    <w:p w14:paraId="4FB3B01F" w14:textId="77777777" w:rsidR="007E3E05" w:rsidRPr="00CF23C3" w:rsidRDefault="007E3E05" w:rsidP="007E3E05">
      <w:pPr>
        <w:pStyle w:val="FootnoteText"/>
        <w:spacing w:before="0"/>
        <w:ind w:left="0" w:firstLine="0"/>
        <w:contextualSpacing/>
        <w:rPr>
          <w:rFonts w:asciiTheme="minorHAnsi" w:hAnsiTheme="minorHAnsi" w:cstheme="minorHAnsi"/>
        </w:rPr>
      </w:pPr>
      <w:r w:rsidRPr="00CF23C3">
        <w:rPr>
          <w:rStyle w:val="FootnoteReference"/>
          <w:rFonts w:asciiTheme="minorHAnsi" w:hAnsiTheme="minorHAnsi" w:cstheme="minorHAnsi"/>
        </w:rPr>
        <w:footnoteRef/>
      </w:r>
      <w:r w:rsidRPr="00CF23C3">
        <w:rPr>
          <w:rFonts w:asciiTheme="minorHAnsi" w:hAnsiTheme="minorHAnsi" w:cstheme="minorHAnsi"/>
        </w:rPr>
        <w:tab/>
      </w:r>
      <w:r>
        <w:rPr>
          <w:rFonts w:asciiTheme="minorHAnsi" w:hAnsiTheme="minorHAnsi" w:cstheme="minorHAnsi"/>
        </w:rPr>
        <w:t xml:space="preserve"> </w:t>
      </w:r>
      <w:r w:rsidRPr="00CF23C3">
        <w:rPr>
          <w:rFonts w:asciiTheme="minorHAnsi" w:hAnsiTheme="minorHAnsi" w:cstheme="minorHAnsi"/>
        </w:rPr>
        <w:t xml:space="preserve">Model </w:t>
      </w:r>
      <w:proofErr w:type="spellStart"/>
      <w:r w:rsidRPr="00CF23C3">
        <w:rPr>
          <w:rFonts w:asciiTheme="minorHAnsi" w:hAnsiTheme="minorHAnsi" w:cstheme="minorHAnsi"/>
        </w:rPr>
        <w:t>obrasca</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dodatnim</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podacima</w:t>
      </w:r>
      <w:proofErr w:type="spellEnd"/>
      <w:r w:rsidRPr="00CF23C3">
        <w:rPr>
          <w:rFonts w:asciiTheme="minorHAnsi" w:hAnsiTheme="minorHAnsi" w:cstheme="minorHAnsi"/>
        </w:rPr>
        <w:t xml:space="preserve"> za </w:t>
      </w:r>
      <w:proofErr w:type="spellStart"/>
      <w:r w:rsidRPr="00CF23C3">
        <w:rPr>
          <w:rFonts w:asciiTheme="minorHAnsi" w:hAnsiTheme="minorHAnsi" w:cstheme="minorHAnsi"/>
        </w:rPr>
        <w:t>prijavu</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planu</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evaluacije</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dio</w:t>
      </w:r>
      <w:proofErr w:type="spellEnd"/>
      <w:r w:rsidRPr="00CF23C3">
        <w:rPr>
          <w:rFonts w:asciiTheme="minorHAnsi" w:hAnsiTheme="minorHAnsi" w:cstheme="minorHAnsi"/>
        </w:rPr>
        <w:t xml:space="preserve"> III.8.) </w:t>
      </w:r>
      <w:proofErr w:type="spellStart"/>
      <w:r w:rsidRPr="00CF23C3">
        <w:rPr>
          <w:rFonts w:asciiTheme="minorHAnsi" w:hAnsiTheme="minorHAnsi" w:cstheme="minorHAnsi"/>
        </w:rPr>
        <w:t>dostupan</w:t>
      </w:r>
      <w:proofErr w:type="spellEnd"/>
      <w:r w:rsidRPr="00CF23C3">
        <w:rPr>
          <w:rFonts w:asciiTheme="minorHAnsi" w:hAnsiTheme="minorHAnsi" w:cstheme="minorHAnsi"/>
        </w:rPr>
        <w:t xml:space="preserve"> je </w:t>
      </w:r>
      <w:proofErr w:type="spellStart"/>
      <w:r w:rsidRPr="00CF23C3">
        <w:rPr>
          <w:rFonts w:asciiTheme="minorHAnsi" w:hAnsiTheme="minorHAnsi" w:cstheme="minorHAnsi"/>
        </w:rPr>
        <w:t>ovdje</w:t>
      </w:r>
      <w:proofErr w:type="spellEnd"/>
      <w:r w:rsidRPr="00CF23C3">
        <w:rPr>
          <w:rFonts w:asciiTheme="minorHAnsi" w:hAnsiTheme="minorHAnsi" w:cstheme="minorHAnsi"/>
        </w:rPr>
        <w:t>:</w:t>
      </w:r>
      <w:r>
        <w:rPr>
          <w:rFonts w:asciiTheme="minorHAnsi" w:hAnsiTheme="minorHAnsi" w:cstheme="minorHAnsi"/>
        </w:rPr>
        <w:t xml:space="preserve"> </w:t>
      </w:r>
      <w:hyperlink r:id="rId1" w:anchor="evaluation-plan" w:history="1">
        <w:r w:rsidRPr="00AF26CC">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2395"/>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 w15:restartNumberingAfterBreak="0">
    <w:nsid w:val="1FA24A72"/>
    <w:multiLevelType w:val="hybridMultilevel"/>
    <w:tmpl w:val="EBC6B65A"/>
    <w:name w:val="Point4"/>
    <w:lvl w:ilvl="0" w:tplc="E2CA0B2C">
      <w:start w:val="1"/>
      <w:numFmt w:val="lowerRoman"/>
      <w:lvlText w:val="(%1)"/>
      <w:lvlJc w:val="left"/>
      <w:pPr>
        <w:ind w:left="1570" w:hanging="360"/>
      </w:pPr>
      <w:rPr>
        <w:rFonts w:asciiTheme="minorHAnsi" w:hAnsiTheme="minorHAnsi" w:cstheme="minorHAnsi" w:hint="default"/>
        <w:sz w:val="22"/>
        <w:szCs w:val="22"/>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 w15:restartNumberingAfterBreak="0">
    <w:nsid w:val="1FB6456D"/>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EE73AB"/>
    <w:multiLevelType w:val="hybridMultilevel"/>
    <w:tmpl w:val="3C0C2CB4"/>
    <w:lvl w:ilvl="0" w:tplc="78B4364C">
      <w:start w:val="1"/>
      <w:numFmt w:val="bullet"/>
      <w:lvlText w:val="-"/>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45D0B"/>
    <w:multiLevelType w:val="multilevel"/>
    <w:tmpl w:val="72B276DA"/>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4C4508"/>
    <w:multiLevelType w:val="hybridMultilevel"/>
    <w:tmpl w:val="22F2E174"/>
    <w:lvl w:ilvl="0" w:tplc="BD1099FE">
      <w:start w:val="1"/>
      <w:numFmt w:val="lowerLetter"/>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4"/>
  </w:num>
  <w:num w:numId="5">
    <w:abstractNumId w:val="1"/>
    <w:lvlOverride w:ilvl="0">
      <w:startOverride w:val="1"/>
    </w:lvlOverride>
    <w:lvlOverride w:ilvl="1">
      <w:startOverride w:val="9"/>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58"/>
    <w:rsid w:val="001E27D7"/>
    <w:rsid w:val="003E4058"/>
    <w:rsid w:val="007E3E05"/>
    <w:rsid w:val="00AB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E0DA"/>
  <w15:chartTrackingRefBased/>
  <w15:docId w15:val="{A87CC06A-C863-4945-920B-AEABB886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E05"/>
  </w:style>
  <w:style w:type="paragraph" w:styleId="Heading1">
    <w:name w:val="heading 1"/>
    <w:basedOn w:val="Normal"/>
    <w:next w:val="Normal"/>
    <w:link w:val="Heading1Char"/>
    <w:qFormat/>
    <w:rsid w:val="007E3E05"/>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7E3E05"/>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7E3E05"/>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7E3E05"/>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7E3E05"/>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7E3E05"/>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7E3E05"/>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E05"/>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7E3E05"/>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7E3E05"/>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7E3E05"/>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7E3E05"/>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7E3E05"/>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7E3E05"/>
    <w:rPr>
      <w:rFonts w:ascii="Calibri" w:eastAsia="Times New Roman" w:hAnsi="Calibri" w:cs="Times New Roman"/>
      <w:sz w:val="24"/>
      <w:szCs w:val="24"/>
      <w:lang w:val="en-GB"/>
    </w:rPr>
  </w:style>
  <w:style w:type="paragraph" w:styleId="FootnoteText">
    <w:name w:val="footnote text"/>
    <w:basedOn w:val="Normal"/>
    <w:link w:val="FootnoteTextChar"/>
    <w:unhideWhenUsed/>
    <w:rsid w:val="007E3E05"/>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7E3E05"/>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7E3E05"/>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NumPar2">
    <w:name w:val="NumPar 2"/>
    <w:basedOn w:val="Normal"/>
    <w:next w:val="Normal"/>
    <w:rsid w:val="007E3E05"/>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7E3E05"/>
    <w:rPr>
      <w:vertAlign w:val="superscript"/>
    </w:rPr>
  </w:style>
  <w:style w:type="paragraph" w:customStyle="1" w:styleId="SUPERSChar">
    <w:name w:val="SUPERS Char"/>
    <w:aliases w:val="EN Footnote Reference Char"/>
    <w:basedOn w:val="Normal"/>
    <w:link w:val="FootnoteReference"/>
    <w:rsid w:val="007E3E05"/>
    <w:pPr>
      <w:spacing w:before="120" w:line="240" w:lineRule="exact"/>
      <w:ind w:left="720" w:hanging="720"/>
      <w:jc w:val="both"/>
    </w:pPr>
    <w:rPr>
      <w:vertAlign w:val="superscript"/>
    </w:rPr>
  </w:style>
  <w:style w:type="character" w:styleId="Hyperlink">
    <w:name w:val="Hyperlink"/>
    <w:uiPriority w:val="99"/>
    <w:rsid w:val="007E3E05"/>
    <w:rPr>
      <w:color w:val="0000FF"/>
      <w:u w:val="single"/>
    </w:rPr>
  </w:style>
  <w:style w:type="paragraph" w:customStyle="1" w:styleId="Text1">
    <w:name w:val="Text 1"/>
    <w:basedOn w:val="Normal"/>
    <w:uiPriority w:val="99"/>
    <w:rsid w:val="007E3E05"/>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table" w:styleId="TableGrid">
    <w:name w:val="Table Grid"/>
    <w:basedOn w:val="TableNormal"/>
    <w:uiPriority w:val="39"/>
    <w:rsid w:val="007E3E05"/>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7E3E05"/>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7E3E05"/>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Point1number">
    <w:name w:val="Point 1 (number)"/>
    <w:basedOn w:val="Normal"/>
    <w:rsid w:val="007E3E05"/>
    <w:pPr>
      <w:numPr>
        <w:ilvl w:val="2"/>
        <w:numId w:val="2"/>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7E3E05"/>
    <w:pPr>
      <w:numPr>
        <w:ilvl w:val="4"/>
        <w:numId w:val="2"/>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7E3E05"/>
    <w:pPr>
      <w:numPr>
        <w:ilvl w:val="6"/>
        <w:numId w:val="2"/>
      </w:num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7E3E05"/>
    <w:pPr>
      <w:numPr>
        <w:ilvl w:val="3"/>
        <w:numId w:val="2"/>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7E3E05"/>
    <w:pPr>
      <w:numPr>
        <w:ilvl w:val="5"/>
        <w:numId w:val="2"/>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7E3E05"/>
    <w:pPr>
      <w:numPr>
        <w:ilvl w:val="7"/>
        <w:numId w:val="2"/>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7E3E05"/>
    <w:pPr>
      <w:numPr>
        <w:ilvl w:val="8"/>
        <w:numId w:val="2"/>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3625</Words>
  <Characters>20663</Characters>
  <Application>Microsoft Office Word</Application>
  <DocSecurity>0</DocSecurity>
  <Lines>172</Lines>
  <Paragraphs>48</Paragraphs>
  <ScaleCrop>false</ScaleCrop>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2026-03-26T12:25:00Z</dcterms:created>
  <dcterms:modified xsi:type="dcterms:W3CDTF">2026-03-26T12:25:00Z</dcterms:modified>
</cp:coreProperties>
</file>