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75AA5" w14:textId="77777777" w:rsidR="0044429C" w:rsidRPr="0086255B" w:rsidRDefault="0044429C" w:rsidP="0044429C">
      <w:pPr>
        <w:tabs>
          <w:tab w:val="left" w:leader="dot" w:pos="9072"/>
        </w:tabs>
        <w:spacing w:before="120" w:after="120"/>
        <w:jc w:val="both"/>
        <w:rPr>
          <w:rFonts w:cstheme="minorHAnsi"/>
          <w:b/>
          <w:noProof/>
        </w:rPr>
      </w:pPr>
      <w:r w:rsidRPr="0086255B">
        <w:rPr>
          <w:rFonts w:cstheme="minorHAnsi"/>
          <w:b/>
          <w:noProof/>
        </w:rPr>
        <w:t>Obrazac 7m - Obrazac o dodatnim podacima za državnu pomoć dodijeljenu na osnovu Smjernica o državnoj pomoći za klimu, zaštitu životne sredine i energiju za 2022.  (u daljem tekstu „CEEAG”) - Odjeljak 4.11. - Pomoć u obliku smanjenja nameta za električnu energiju za velike potrošače energije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44429C" w:rsidRPr="0086255B" w14:paraId="1E086122" w14:textId="77777777" w:rsidTr="00D507D9">
        <w:trPr>
          <w:trHeight w:val="1134"/>
        </w:trPr>
        <w:tc>
          <w:tcPr>
            <w:tcW w:w="5000" w:type="pct"/>
            <w:shd w:val="pct15" w:color="auto" w:fill="auto"/>
          </w:tcPr>
          <w:p w14:paraId="77CD677F" w14:textId="77777777" w:rsidR="0044429C" w:rsidRPr="0086255B" w:rsidRDefault="0044429C" w:rsidP="00D507D9">
            <w:pPr>
              <w:keepNext/>
              <w:keepLines/>
              <w:spacing w:before="120" w:after="120"/>
              <w:jc w:val="both"/>
              <w:outlineLvl w:val="1"/>
              <w:rPr>
                <w:rFonts w:eastAsia="Times New Roman" w:cstheme="minorHAnsi"/>
                <w:b/>
                <w:bCs/>
                <w:lang w:eastAsia="hr-HR" w:bidi="hr-HR"/>
              </w:rPr>
            </w:pPr>
            <w:proofErr w:type="spellStart"/>
            <w:r w:rsidRPr="0086255B">
              <w:rPr>
                <w:rFonts w:eastAsia="Times New Roman" w:cstheme="minorHAnsi"/>
                <w:b/>
                <w:bCs/>
                <w:lang w:eastAsia="hr-HR" w:bidi="hr-HR"/>
              </w:rPr>
              <w:t>Dio</w:t>
            </w:r>
            <w:proofErr w:type="spellEnd"/>
            <w:r w:rsidRPr="0086255B">
              <w:rPr>
                <w:rFonts w:eastAsia="Times New Roman" w:cstheme="minorHAnsi"/>
                <w:b/>
                <w:bCs/>
                <w:lang w:eastAsia="hr-HR" w:bidi="hr-HR"/>
              </w:rPr>
              <w:t xml:space="preserve"> III.6.M – </w:t>
            </w:r>
            <w:proofErr w:type="spellStart"/>
            <w:r w:rsidRPr="0086255B">
              <w:rPr>
                <w:rFonts w:eastAsia="Times New Roman" w:cstheme="minorHAnsi"/>
                <w:b/>
                <w:bCs/>
                <w:lang w:eastAsia="hr-HR" w:bidi="hr-HR"/>
              </w:rPr>
              <w:t>Obrazac</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dodatnim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podacima</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državnu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dodijeljenu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na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osnovu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Smjernica</w:t>
            </w:r>
            <w:proofErr w:type="spellEnd"/>
            <w:r w:rsidRPr="0086255B">
              <w:rPr>
                <w:rFonts w:eastAsia="Times New Roman" w:cstheme="minorHAnsi"/>
                <w:b/>
                <w:bCs/>
                <w:lang w:eastAsia="hr-HR" w:bidi="hr-HR"/>
              </w:rPr>
              <w:t xml:space="preserve"> o </w:t>
            </w:r>
            <w:proofErr w:type="spellStart"/>
            <w:r w:rsidRPr="0086255B">
              <w:rPr>
                <w:rFonts w:eastAsia="Times New Roman" w:cstheme="minorHAnsi"/>
                <w:b/>
                <w:bCs/>
                <w:lang w:eastAsia="hr-HR" w:bidi="hr-HR"/>
              </w:rPr>
              <w:t>državnoj</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pomoći</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klimu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zaštitu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životne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sredine</w:t>
            </w:r>
            <w:proofErr w:type="spellEnd"/>
            <w:r w:rsidRPr="0086255B">
              <w:rPr>
                <w:rFonts w:eastAsia="Times New Roman" w:cstheme="minorHAnsi"/>
                <w:b/>
                <w:bCs/>
                <w:lang w:eastAsia="hr-HR" w:bidi="hr-HR"/>
              </w:rPr>
              <w:t xml:space="preserve"> i </w:t>
            </w:r>
            <w:proofErr w:type="spellStart"/>
            <w:r w:rsidRPr="0086255B">
              <w:rPr>
                <w:rFonts w:eastAsia="Times New Roman" w:cstheme="minorHAnsi"/>
                <w:b/>
                <w:bCs/>
                <w:lang w:eastAsia="hr-HR" w:bidi="hr-HR"/>
              </w:rPr>
              <w:t>energiju</w:t>
            </w:r>
            <w:proofErr w:type="spellEnd"/>
            <w:r w:rsidRPr="0086255B">
              <w:rPr>
                <w:rFonts w:eastAsia="Times New Roman" w:cstheme="minorHAnsi"/>
                <w:b/>
                <w:bCs/>
                <w:lang w:eastAsia="hr-HR" w:bidi="hr-HR"/>
              </w:rPr>
              <w:t xml:space="preserve"> za 2022.  (u </w:t>
            </w:r>
            <w:proofErr w:type="spellStart"/>
            <w:r w:rsidRPr="0086255B">
              <w:rPr>
                <w:rFonts w:eastAsia="Times New Roman" w:cstheme="minorHAnsi"/>
                <w:b/>
                <w:bCs/>
                <w:lang w:eastAsia="hr-HR" w:bidi="hr-HR"/>
              </w:rPr>
              <w:t>daljem</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tekstu</w:t>
            </w:r>
            <w:proofErr w:type="spellEnd"/>
            <w:r w:rsidRPr="0086255B">
              <w:rPr>
                <w:rFonts w:eastAsia="Times New Roman" w:cstheme="minorHAnsi"/>
                <w:b/>
                <w:bCs/>
                <w:lang w:eastAsia="hr-HR" w:bidi="hr-HR"/>
              </w:rPr>
              <w:t xml:space="preserve"> „CEEAG”) - </w:t>
            </w:r>
            <w:proofErr w:type="spellStart"/>
            <w:r w:rsidRPr="0086255B">
              <w:rPr>
                <w:rFonts w:eastAsia="Times New Roman" w:cstheme="minorHAnsi"/>
                <w:b/>
                <w:bCs/>
                <w:lang w:eastAsia="hr-HR" w:bidi="hr-HR"/>
              </w:rPr>
              <w:t>Odjeljak</w:t>
            </w:r>
            <w:proofErr w:type="spellEnd"/>
            <w:r w:rsidRPr="0086255B">
              <w:rPr>
                <w:rFonts w:eastAsia="Times New Roman" w:cstheme="minorHAnsi"/>
                <w:b/>
                <w:bCs/>
                <w:lang w:eastAsia="hr-HR" w:bidi="hr-HR"/>
              </w:rPr>
              <w:t xml:space="preserve"> 4.11. - </w:t>
            </w:r>
            <w:proofErr w:type="spellStart"/>
            <w:r w:rsidRPr="0086255B">
              <w:rPr>
                <w:rFonts w:eastAsia="Times New Roman" w:cstheme="minorHAnsi"/>
                <w:b/>
                <w:bCs/>
                <w:lang w:eastAsia="hr-HR" w:bidi="hr-HR"/>
              </w:rPr>
              <w:t>Pomoc</w:t>
            </w:r>
            <w:proofErr w:type="spellEnd"/>
            <w:r w:rsidRPr="0086255B">
              <w:rPr>
                <w:rFonts w:eastAsia="Times New Roman" w:cstheme="minorHAnsi"/>
                <w:b/>
                <w:bCs/>
                <w:lang w:eastAsia="hr-HR" w:bidi="hr-HR"/>
              </w:rPr>
              <w:t xml:space="preserve">́ u </w:t>
            </w:r>
            <w:proofErr w:type="spellStart"/>
            <w:r w:rsidRPr="0086255B">
              <w:rPr>
                <w:rFonts w:eastAsia="Times New Roman" w:cstheme="minorHAnsi"/>
                <w:b/>
                <w:bCs/>
                <w:lang w:eastAsia="hr-HR" w:bidi="hr-HR"/>
              </w:rPr>
              <w:t>obliku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smanjenja</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nameta</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električnu</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energiju</w:t>
            </w:r>
            <w:proofErr w:type="spellEnd"/>
            <w:r w:rsidRPr="0086255B">
              <w:rPr>
                <w:rFonts w:eastAsia="Times New Roman" w:cstheme="minorHAnsi"/>
                <w:b/>
                <w:bCs/>
                <w:lang w:eastAsia="hr-HR" w:bidi="hr-HR"/>
              </w:rPr>
              <w:t xml:space="preserve"> za </w:t>
            </w:r>
            <w:proofErr w:type="spellStart"/>
            <w:r w:rsidRPr="0086255B">
              <w:rPr>
                <w:rFonts w:eastAsia="Times New Roman" w:cstheme="minorHAnsi"/>
                <w:b/>
                <w:bCs/>
                <w:lang w:eastAsia="hr-HR" w:bidi="hr-HR"/>
              </w:rPr>
              <w:t>velike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potrošače</w:t>
            </w:r>
            <w:proofErr w:type="spellEnd"/>
            <w:r w:rsidRPr="0086255B">
              <w:rPr>
                <w:rFonts w:eastAsia="Times New Roman" w:cstheme="minorHAnsi"/>
                <w:b/>
                <w:bCs/>
                <w:lang w:eastAsia="hr-HR" w:bidi="hr-HR"/>
              </w:rPr>
              <w:t xml:space="preserve"> </w:t>
            </w:r>
            <w:proofErr w:type="spellStart"/>
            <w:r w:rsidRPr="0086255B">
              <w:rPr>
                <w:rFonts w:eastAsia="Times New Roman" w:cstheme="minorHAnsi"/>
                <w:b/>
                <w:bCs/>
                <w:lang w:eastAsia="hr-HR" w:bidi="hr-HR"/>
              </w:rPr>
              <w:t>energije</w:t>
            </w:r>
            <w:proofErr w:type="spellEnd"/>
          </w:p>
        </w:tc>
      </w:tr>
    </w:tbl>
    <w:p w14:paraId="428321B4" w14:textId="77777777" w:rsidR="0044429C" w:rsidRPr="0086255B" w:rsidRDefault="0044429C" w:rsidP="0044429C">
      <w:pPr>
        <w:spacing w:before="120" w:after="120"/>
        <w:ind w:right="-142"/>
        <w:jc w:val="both"/>
        <w:rPr>
          <w:rFonts w:cstheme="minorHAnsi"/>
          <w:i/>
          <w:noProof/>
        </w:rPr>
      </w:pPr>
      <w:r w:rsidRPr="0086255B">
        <w:rPr>
          <w:rFonts w:cstheme="minorHAnsi"/>
          <w:i/>
          <w:noProof/>
        </w:rPr>
        <w:t xml:space="preserve">Ovaj obrazac o dodatnim podacima odnosi se na mjere obuhvaćene odjeljkom 4.11. CEEAG-a. Ako prijava uključuje mjere na koje se odnosi više odjeljaka CEEAG-a, nakon što postanu dostupni ispunite i odgovarajući obrazac o dodatnim podacima koji se odnosi na odgovarajuće odjeljke CEEAG-a. </w:t>
      </w:r>
    </w:p>
    <w:p w14:paraId="3BB0D3C0" w14:textId="77777777" w:rsidR="0044429C" w:rsidRPr="0086255B" w:rsidRDefault="0044429C" w:rsidP="0044429C">
      <w:pPr>
        <w:spacing w:before="120" w:after="120"/>
        <w:ind w:right="-142"/>
        <w:jc w:val="both"/>
        <w:rPr>
          <w:rFonts w:cstheme="minorHAnsi"/>
          <w:i/>
          <w:noProof/>
        </w:rPr>
      </w:pPr>
      <w:r w:rsidRPr="0086255B">
        <w:rPr>
          <w:rFonts w:cstheme="minorHAnsi"/>
          <w:i/>
          <w:noProof/>
        </w:rPr>
        <w:t>Sva dokumenta koje države članice prilažu uz obrazac o dodatnim podacima moraju biti numerisani, a brojevi dokumenata navode se u odgovarajućim odjeljcima ovog obrasca o dodatnim podacima.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44429C" w:rsidRPr="0086255B" w14:paraId="7F560B0E" w14:textId="77777777" w:rsidTr="00D507D9">
        <w:tc>
          <w:tcPr>
            <w:tcW w:w="5000" w:type="pct"/>
            <w:shd w:val="pct15" w:color="auto" w:fill="auto"/>
          </w:tcPr>
          <w:p w14:paraId="09B85308" w14:textId="77777777" w:rsidR="0044429C" w:rsidRPr="0086255B" w:rsidRDefault="0044429C"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A: Rezime glavnih karakteristika prijavljenih mjera</w:t>
            </w:r>
          </w:p>
        </w:tc>
      </w:tr>
    </w:tbl>
    <w:p w14:paraId="22F31E49"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 xml:space="preserve"> Kontekst i ciljevi prijavljenih mjera</w:t>
      </w:r>
    </w:p>
    <w:p w14:paraId="63DD9648" w14:textId="77777777" w:rsidR="0044429C" w:rsidRPr="0086255B" w:rsidRDefault="0044429C" w:rsidP="0044429C">
      <w:pPr>
        <w:pStyle w:val="NumPar2"/>
        <w:numPr>
          <w:ilvl w:val="1"/>
          <w:numId w:val="7"/>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to već nije objašnjeno u odjeljku 5.2. obrasca o opštim podacima (dio I), navedite kontekst i glavni cilj, uključujući ciljeve Unije za smanjenje emisija iz saobraćaja koje se mjerom namjerava podržati. </w:t>
      </w:r>
    </w:p>
    <w:p w14:paraId="46DB3819"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6303FF28" w14:textId="77777777" w:rsidR="0044429C" w:rsidRPr="0086255B" w:rsidRDefault="0044429C" w:rsidP="0044429C">
      <w:pPr>
        <w:pStyle w:val="NumPar2"/>
        <w:numPr>
          <w:ilvl w:val="1"/>
          <w:numId w:val="7"/>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Navedite sve druge ciljeve koji se nastoje postići mjerom. Ako je riječ o ciljevima koji nisu isključivo ekološki, objasnite da li oni mogu dovesti do narušavanja konkurtencije na unutrašnjem tržištu. </w:t>
      </w:r>
    </w:p>
    <w:p w14:paraId="2B6086D6"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31218966"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Stupanje na snagu i trajanje</w:t>
      </w:r>
    </w:p>
    <w:p w14:paraId="6EA0D6BC" w14:textId="77777777" w:rsidR="0044429C" w:rsidRPr="0086255B" w:rsidRDefault="0044429C" w:rsidP="0044429C">
      <w:pPr>
        <w:pStyle w:val="NumPar2"/>
        <w:numPr>
          <w:ilvl w:val="1"/>
          <w:numId w:val="7"/>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već nije navedeno u odjeljku 5.4. obrasca o opštim podacima (dio I), navedite:</w:t>
      </w:r>
    </w:p>
    <w:p w14:paraId="2B5ACB7B" w14:textId="77777777" w:rsidR="0044429C" w:rsidRPr="0086255B" w:rsidRDefault="0044429C" w:rsidP="0044429C">
      <w:pPr>
        <w:pStyle w:val="NumPar2"/>
        <w:numPr>
          <w:ilvl w:val="0"/>
          <w:numId w:val="3"/>
        </w:numPr>
        <w:rPr>
          <w:rFonts w:asciiTheme="minorHAnsi" w:hAnsiTheme="minorHAnsi" w:cstheme="minorHAnsi"/>
          <w:noProof/>
          <w:sz w:val="22"/>
          <w:szCs w:val="22"/>
        </w:rPr>
      </w:pPr>
      <w:r w:rsidRPr="0086255B">
        <w:rPr>
          <w:rFonts w:asciiTheme="minorHAnsi" w:hAnsiTheme="minorHAnsi" w:cstheme="minorHAnsi"/>
          <w:noProof/>
          <w:sz w:val="22"/>
          <w:szCs w:val="22"/>
        </w:rPr>
        <w:t>za šemu pomoći:</w:t>
      </w:r>
    </w:p>
    <w:p w14:paraId="553CF7C9" w14:textId="77777777" w:rsidR="0044429C" w:rsidRPr="0086255B" w:rsidRDefault="0044429C" w:rsidP="0044429C">
      <w:pPr>
        <w:pStyle w:val="NumPar2"/>
        <w:numPr>
          <w:ilvl w:val="0"/>
          <w:numId w:val="4"/>
        </w:numPr>
        <w:ind w:left="1080"/>
        <w:rPr>
          <w:rFonts w:asciiTheme="minorHAnsi" w:hAnsiTheme="minorHAnsi" w:cstheme="minorHAnsi"/>
          <w:noProof/>
          <w:sz w:val="22"/>
          <w:szCs w:val="22"/>
        </w:rPr>
      </w:pPr>
      <w:r w:rsidRPr="0086255B">
        <w:rPr>
          <w:rFonts w:asciiTheme="minorHAnsi" w:hAnsiTheme="minorHAnsi" w:cstheme="minorHAnsi"/>
          <w:noProof/>
          <w:sz w:val="22"/>
          <w:szCs w:val="22"/>
        </w:rPr>
        <w:t>datum na koji bi šema pomoći trebalo da stupi na snagu:</w:t>
      </w:r>
    </w:p>
    <w:p w14:paraId="1EFACC83" w14:textId="77777777" w:rsidR="0044429C" w:rsidRPr="0086255B" w:rsidRDefault="0044429C" w:rsidP="0044429C">
      <w:pPr>
        <w:spacing w:before="120" w:after="120"/>
        <w:jc w:val="both"/>
        <w:rPr>
          <w:rFonts w:cstheme="minorHAnsi"/>
        </w:rPr>
      </w:pPr>
      <w:r w:rsidRPr="0086255B">
        <w:rPr>
          <w:rFonts w:cstheme="minorHAnsi"/>
        </w:rPr>
        <w:t>.....................................................................................................................................................</w:t>
      </w:r>
    </w:p>
    <w:p w14:paraId="1684860C" w14:textId="77777777" w:rsidR="0044429C" w:rsidRPr="0086255B" w:rsidRDefault="0044429C" w:rsidP="0044429C">
      <w:pPr>
        <w:pStyle w:val="ListParagraph"/>
        <w:numPr>
          <w:ilvl w:val="0"/>
          <w:numId w:val="4"/>
        </w:numPr>
        <w:spacing w:after="120"/>
        <w:ind w:left="1080"/>
        <w:contextualSpacing w:val="0"/>
        <w:rPr>
          <w:rFonts w:asciiTheme="minorHAnsi" w:hAnsiTheme="minorHAnsi" w:cstheme="minorHAnsi"/>
          <w:sz w:val="22"/>
          <w:szCs w:val="22"/>
        </w:rPr>
      </w:pPr>
      <w:r w:rsidRPr="0086255B">
        <w:rPr>
          <w:rFonts w:asciiTheme="minorHAnsi" w:hAnsiTheme="minorHAnsi" w:cstheme="minorHAnsi"/>
          <w:noProof/>
          <w:sz w:val="22"/>
          <w:szCs w:val="22"/>
        </w:rPr>
        <w:t>trajanje šeme.</w:t>
      </w:r>
      <w:r w:rsidRPr="0086255B">
        <w:rPr>
          <w:rStyle w:val="FootnoteReference"/>
          <w:rFonts w:asciiTheme="minorHAnsi" w:hAnsiTheme="minorHAnsi" w:cstheme="minorHAnsi"/>
          <w:noProof/>
          <w:sz w:val="22"/>
          <w:szCs w:val="22"/>
        </w:rPr>
        <w:footnoteReference w:id="1"/>
      </w:r>
    </w:p>
    <w:p w14:paraId="751746A2" w14:textId="77777777" w:rsidR="0044429C" w:rsidRPr="0086255B" w:rsidRDefault="0044429C" w:rsidP="0044429C">
      <w:pPr>
        <w:spacing w:before="120" w:after="120"/>
        <w:jc w:val="both"/>
        <w:rPr>
          <w:rFonts w:cstheme="minorHAnsi"/>
        </w:rPr>
      </w:pPr>
      <w:r w:rsidRPr="0086255B">
        <w:rPr>
          <w:rFonts w:cstheme="minorHAnsi"/>
        </w:rPr>
        <w:t>.....................................................................................................................................................</w:t>
      </w:r>
    </w:p>
    <w:p w14:paraId="18FDB19C" w14:textId="77777777" w:rsidR="0044429C" w:rsidRPr="0086255B" w:rsidRDefault="0044429C" w:rsidP="0044429C">
      <w:pPr>
        <w:pStyle w:val="ListParagraph"/>
        <w:numPr>
          <w:ilvl w:val="0"/>
          <w:numId w:val="3"/>
        </w:numPr>
        <w:tabs>
          <w:tab w:val="left" w:leader="dot" w:pos="9072"/>
        </w:tabs>
        <w:spacing w:after="120"/>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t>za individualnu pomoć:</w:t>
      </w:r>
    </w:p>
    <w:p w14:paraId="579371C8" w14:textId="77777777" w:rsidR="0044429C" w:rsidRPr="0086255B" w:rsidRDefault="0044429C" w:rsidP="0044429C">
      <w:pPr>
        <w:pStyle w:val="ListParagraph"/>
        <w:numPr>
          <w:ilvl w:val="0"/>
          <w:numId w:val="4"/>
        </w:numPr>
        <w:tabs>
          <w:tab w:val="left" w:leader="dot" w:pos="9072"/>
        </w:tabs>
        <w:spacing w:after="120"/>
        <w:ind w:left="1080"/>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t>(planirani) datum dodjele pomoći (obećana pomoć):</w:t>
      </w:r>
    </w:p>
    <w:p w14:paraId="4E80E3C4"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w:t>
      </w:r>
    </w:p>
    <w:p w14:paraId="41AEB570"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odnosno</w:t>
      </w:r>
    </w:p>
    <w:p w14:paraId="66735E5B" w14:textId="77777777" w:rsidR="0044429C" w:rsidRPr="0086255B" w:rsidRDefault="0044429C" w:rsidP="0044429C">
      <w:pPr>
        <w:pStyle w:val="NumPar1"/>
        <w:numPr>
          <w:ilvl w:val="0"/>
          <w:numId w:val="4"/>
        </w:numPr>
        <w:ind w:left="1080"/>
        <w:rPr>
          <w:rFonts w:asciiTheme="minorHAnsi" w:hAnsiTheme="minorHAnsi" w:cstheme="minorHAnsi"/>
          <w:noProof/>
          <w:sz w:val="22"/>
        </w:rPr>
      </w:pPr>
      <w:r w:rsidRPr="0086255B">
        <w:rPr>
          <w:rFonts w:asciiTheme="minorHAnsi" w:hAnsiTheme="minorHAnsi" w:cstheme="minorHAnsi"/>
          <w:noProof/>
          <w:sz w:val="22"/>
        </w:rPr>
        <w:lastRenderedPageBreak/>
        <w:t>datum isplate (datum prve isplate ako su predviđene različite uzastopne isplate).</w:t>
      </w:r>
    </w:p>
    <w:p w14:paraId="72F7ACA3"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w:t>
      </w:r>
    </w:p>
    <w:p w14:paraId="22A6D26B"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Korisnici</w:t>
      </w:r>
      <w:r w:rsidRPr="0086255B">
        <w:rPr>
          <w:rFonts w:asciiTheme="minorHAnsi" w:hAnsiTheme="minorHAnsi" w:cstheme="minorHAnsi"/>
          <w:bCs/>
          <w:noProof/>
          <w:sz w:val="22"/>
        </w:rPr>
        <w:tab/>
      </w:r>
    </w:p>
    <w:p w14:paraId="74E3073E" w14:textId="77777777" w:rsidR="0044429C" w:rsidRPr="0086255B" w:rsidRDefault="0044429C" w:rsidP="0044429C">
      <w:pPr>
        <w:pStyle w:val="NumPar2"/>
        <w:numPr>
          <w:ilvl w:val="1"/>
          <w:numId w:val="7"/>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već nisu opisani u odjeljku 3 obrasca o opštim podacima (dio I), opišite (potencijalne) korisnike mjera.</w:t>
      </w:r>
    </w:p>
    <w:p w14:paraId="4499D474"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5C783497" w14:textId="77777777" w:rsidR="0044429C" w:rsidRPr="0086255B" w:rsidRDefault="0044429C" w:rsidP="0044429C">
      <w:pPr>
        <w:pStyle w:val="NumPar2"/>
        <w:numPr>
          <w:ilvl w:val="1"/>
          <w:numId w:val="7"/>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Navedite lokaciju (potencijalnih) korisnika (tj. da li su za učestvovanje u mjeri prihvatljivi samo privredni subjekti koji se nalaze u predmetnoj državi članici ili i oni iz drugih država članica).</w:t>
      </w:r>
    </w:p>
    <w:p w14:paraId="0A866584"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60F13891" w14:textId="77777777" w:rsidR="0044429C" w:rsidRPr="0086255B" w:rsidRDefault="0044429C" w:rsidP="0044429C">
      <w:pPr>
        <w:pStyle w:val="NumPar2"/>
        <w:numPr>
          <w:ilvl w:val="1"/>
          <w:numId w:val="7"/>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Kako bi se ocijenila usklađenost sa tačkom 15 CEEAG-a, navedite da li se pomoć dodjeljuje u okviru mjera u korist privrednog društva (individualno ili u okviru šeme) koji nije izvršio nalog za povraćaj sredstava na osnovu prethodne odluke Komisije kojom je pomoć ocijenjena kao nezakonita i neusklađena sa unutrašnjim tržištem. </w:t>
      </w:r>
    </w:p>
    <w:p w14:paraId="2113F4AF" w14:textId="77777777" w:rsidR="0044429C" w:rsidRPr="0086255B" w:rsidRDefault="0044429C" w:rsidP="0044429C">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Ako se takva pomoć dodjeljuje, navedite podatke o iznosu pomoći koji još nije vraćen kako bi Komisija to uzela u obzir pri ocjeni mjere pomoći.</w:t>
      </w:r>
    </w:p>
    <w:p w14:paraId="159EA788"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028DCA9A"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mjera ne uključuje pomoć za djelatnosti koje nisu obuhvaćene područjem primjene CEEAG-a (vidjeti tačku 13 CEEAG-a). U suprotnom navedite pojedinosti.</w:t>
      </w:r>
    </w:p>
    <w:p w14:paraId="14A22048"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2ABD35B0"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bCs/>
          <w:noProof/>
          <w:sz w:val="22"/>
        </w:rPr>
      </w:pPr>
      <w:r w:rsidRPr="0086255B">
        <w:rPr>
          <w:rFonts w:asciiTheme="minorHAnsi" w:hAnsiTheme="minorHAnsi" w:cstheme="minorHAnsi"/>
          <w:bCs/>
          <w:noProof/>
          <w:sz w:val="22"/>
        </w:rPr>
        <w:t>Budžet i finansiranje mjera</w:t>
      </w:r>
    </w:p>
    <w:p w14:paraId="37C16F03" w14:textId="77777777" w:rsidR="0044429C" w:rsidRPr="0086255B" w:rsidRDefault="0044429C" w:rsidP="0044429C">
      <w:pPr>
        <w:pStyle w:val="NumPar2"/>
        <w:numPr>
          <w:ilvl w:val="1"/>
          <w:numId w:val="7"/>
        </w:numPr>
        <w:tabs>
          <w:tab w:val="clear" w:pos="850"/>
        </w:tabs>
        <w:ind w:left="360" w:hanging="360"/>
        <w:rPr>
          <w:rFonts w:asciiTheme="minorHAnsi" w:hAnsiTheme="minorHAnsi" w:cstheme="minorHAnsi"/>
          <w:noProof/>
          <w:sz w:val="22"/>
          <w:szCs w:val="22"/>
        </w:rPr>
      </w:pPr>
      <w:r w:rsidRPr="0086255B">
        <w:rPr>
          <w:rFonts w:asciiTheme="minorHAnsi" w:hAnsiTheme="minorHAnsi" w:cstheme="minorHAnsi"/>
          <w:noProof/>
          <w:sz w:val="22"/>
          <w:szCs w:val="22"/>
        </w:rPr>
        <w:t xml:space="preserve"> Ako već nije navedeno u tabeli u odjeljku 7.1. obrasca o opštim podacima (dio I), navedite godišnji i/ili ukupni budžet za cijelo trajanje mjera; ako ukupan budžet nije poznat (npr. zato što zavisi od rezultata tendera), navedite procijenjeni budžet, uključujući pretpostavke na osnovu kojih je izračunat.</w:t>
      </w:r>
      <w:r w:rsidRPr="0086255B">
        <w:rPr>
          <w:rStyle w:val="FootnoteReference"/>
          <w:rFonts w:asciiTheme="minorHAnsi" w:hAnsiTheme="minorHAnsi" w:cstheme="minorHAnsi"/>
          <w:noProof/>
          <w:sz w:val="22"/>
          <w:szCs w:val="22"/>
        </w:rPr>
        <w:footnoteReference w:id="2"/>
      </w:r>
    </w:p>
    <w:p w14:paraId="12CCAA46"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50ACED49" w14:textId="77777777" w:rsidR="0044429C" w:rsidRPr="0086255B" w:rsidRDefault="0044429C" w:rsidP="0044429C">
      <w:pPr>
        <w:pStyle w:val="NumPar2"/>
        <w:numPr>
          <w:ilvl w:val="1"/>
          <w:numId w:val="7"/>
        </w:numPr>
        <w:tabs>
          <w:tab w:val="clear" w:pos="850"/>
        </w:tabs>
        <w:ind w:left="360" w:hanging="360"/>
        <w:rPr>
          <w:rFonts w:asciiTheme="minorHAnsi" w:hAnsiTheme="minorHAnsi" w:cstheme="minorHAnsi"/>
          <w:bCs/>
          <w:noProof/>
          <w:sz w:val="22"/>
          <w:szCs w:val="22"/>
        </w:rPr>
      </w:pPr>
      <w:r w:rsidRPr="0086255B">
        <w:rPr>
          <w:rFonts w:asciiTheme="minorHAnsi" w:hAnsiTheme="minorHAnsi" w:cstheme="minorHAnsi"/>
          <w:noProof/>
          <w:sz w:val="22"/>
          <w:szCs w:val="22"/>
        </w:rPr>
        <w:t xml:space="preserve"> Ako se mjera finansira iz nameta, pojasnite:</w:t>
      </w:r>
    </w:p>
    <w:p w14:paraId="1517E9A8" w14:textId="77777777" w:rsidR="0044429C" w:rsidRPr="0086255B" w:rsidRDefault="0044429C" w:rsidP="0044429C">
      <w:pPr>
        <w:pStyle w:val="Point1letter"/>
        <w:numPr>
          <w:ilvl w:val="3"/>
          <w:numId w:val="8"/>
        </w:numP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je namet utvrđen zakonom ili nekim drugim zakonodavnim aktom; ako jeste, navedite odgovarajući pravni akt, broj i datum kada je usvojen i stupio na snagu, kao i interent vezu do pravnog akta;</w:t>
      </w:r>
    </w:p>
    <w:p w14:paraId="516B873B"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252FBAED" w14:textId="77777777" w:rsidR="0044429C" w:rsidRPr="0086255B" w:rsidRDefault="0044429C" w:rsidP="0044429C">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finansira li se smanjenje naknade povećanjem naknade za ostale potrošače;</w:t>
      </w:r>
    </w:p>
    <w:p w14:paraId="3322DD6E"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5B959BCD" w14:textId="77777777" w:rsidR="0044429C" w:rsidRPr="0086255B" w:rsidRDefault="0044429C" w:rsidP="0044429C">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mjera finansira u potpunosti ili samo djelimično iz nameta; ako se finansira samo djelimično, navedite druge izvore finansiranja mjere i njihov odgovarajući udio;</w:t>
      </w:r>
    </w:p>
    <w:p w14:paraId="1586F552"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lastRenderedPageBreak/>
        <w:tab/>
      </w:r>
    </w:p>
    <w:p w14:paraId="757E0934" w14:textId="77777777" w:rsidR="0044429C" w:rsidRPr="0086255B" w:rsidRDefault="0044429C" w:rsidP="0044429C">
      <w:pPr>
        <w:pStyle w:val="Point1letter"/>
        <w:tabs>
          <w:tab w:val="clear" w:pos="1417"/>
        </w:tabs>
        <w:ind w:left="720" w:hanging="360"/>
        <w:rPr>
          <w:rFonts w:asciiTheme="minorHAnsi" w:hAnsiTheme="minorHAnsi" w:cstheme="minorHAnsi"/>
          <w:bCs/>
          <w:noProof/>
          <w:sz w:val="22"/>
        </w:rPr>
      </w:pPr>
      <w:r w:rsidRPr="0086255B">
        <w:rPr>
          <w:rFonts w:asciiTheme="minorHAnsi" w:hAnsiTheme="minorHAnsi" w:cstheme="minorHAnsi"/>
          <w:noProof/>
          <w:sz w:val="22"/>
        </w:rPr>
        <w:t>da li se iz istog nameta finansiraju i druge mjere pomoći; ako da, navedite ostale mjere pomoći koje se finansiraju iz te naknade.</w:t>
      </w:r>
    </w:p>
    <w:p w14:paraId="7F33F57D" w14:textId="77777777" w:rsidR="0044429C" w:rsidRPr="0086255B" w:rsidRDefault="0044429C" w:rsidP="0044429C">
      <w:pPr>
        <w:pStyle w:val="Point1letter"/>
        <w:numPr>
          <w:ilvl w:val="0"/>
          <w:numId w:val="0"/>
        </w:numPr>
        <w:rPr>
          <w:rFonts w:asciiTheme="minorHAnsi" w:hAnsiTheme="minorHAnsi" w:cstheme="minorHAnsi"/>
          <w:bCs/>
          <w:noProof/>
          <w:sz w:val="22"/>
        </w:rPr>
      </w:pPr>
      <w:r w:rsidRPr="0086255B">
        <w:rPr>
          <w:rFonts w:asciiTheme="minorHAnsi" w:hAnsiTheme="minorHAnsi" w:cstheme="minorHAnsi"/>
          <w:bCs/>
          <w:noProof/>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350"/>
      </w:tblGrid>
      <w:tr w:rsidR="0044429C" w:rsidRPr="0086255B" w14:paraId="33DA109C" w14:textId="77777777" w:rsidTr="00D507D9">
        <w:tc>
          <w:tcPr>
            <w:tcW w:w="5000" w:type="pct"/>
            <w:shd w:val="pct15" w:color="auto" w:fill="auto"/>
          </w:tcPr>
          <w:p w14:paraId="075DC84E" w14:textId="77777777" w:rsidR="0044429C" w:rsidRPr="0086255B" w:rsidRDefault="0044429C" w:rsidP="00D507D9">
            <w:pPr>
              <w:spacing w:before="120" w:after="120"/>
              <w:jc w:val="both"/>
              <w:rPr>
                <w:rFonts w:cstheme="minorHAnsi"/>
                <w:b/>
                <w:iCs/>
                <w:noProof/>
                <w:lang w:eastAsia="hr-HR" w:bidi="hr-HR"/>
              </w:rPr>
            </w:pPr>
            <w:r w:rsidRPr="0086255B">
              <w:rPr>
                <w:rFonts w:cstheme="minorHAnsi"/>
                <w:lang w:eastAsia="hr-HR" w:bidi="hr-HR"/>
              </w:rPr>
              <w:br w:type="page"/>
            </w:r>
            <w:r w:rsidRPr="0086255B">
              <w:rPr>
                <w:rFonts w:cstheme="minorHAnsi"/>
                <w:b/>
                <w:noProof/>
                <w:lang w:eastAsia="hr-HR" w:bidi="hr-HR"/>
              </w:rPr>
              <w:t>Odjeljak B: Ocjena usklađenosti pomoći</w:t>
            </w:r>
          </w:p>
        </w:tc>
      </w:tr>
    </w:tbl>
    <w:p w14:paraId="4FBBF3F5" w14:textId="77777777" w:rsidR="0044429C" w:rsidRPr="0086255B" w:rsidRDefault="0044429C" w:rsidP="0044429C">
      <w:pPr>
        <w:pStyle w:val="Heading1"/>
        <w:keepNext/>
        <w:numPr>
          <w:ilvl w:val="0"/>
          <w:numId w:val="9"/>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Pozitivan uslov: pomoć mora da olakšava razvoj ekonomske djelatnosti</w:t>
      </w:r>
    </w:p>
    <w:p w14:paraId="788ADC30" w14:textId="77777777" w:rsidR="0044429C" w:rsidRPr="0086255B" w:rsidRDefault="0044429C" w:rsidP="0044429C">
      <w:pPr>
        <w:pStyle w:val="Heading2"/>
        <w:keepLines w:val="0"/>
        <w:numPr>
          <w:ilvl w:val="1"/>
          <w:numId w:val="9"/>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Doprinos razvoju ekonomske djelatnosti i podsticajni efekat</w:t>
      </w:r>
    </w:p>
    <w:p w14:paraId="022E03A5" w14:textId="77777777" w:rsidR="0044429C" w:rsidRPr="0086255B" w:rsidRDefault="0044429C" w:rsidP="0044429C">
      <w:pPr>
        <w:spacing w:before="120" w:after="120"/>
        <w:jc w:val="both"/>
        <w:rPr>
          <w:rFonts w:cstheme="minorHAnsi"/>
          <w:i/>
          <w:noProof/>
        </w:rPr>
      </w:pPr>
      <w:r w:rsidRPr="0086255B">
        <w:rPr>
          <w:rFonts w:cstheme="minorHAnsi"/>
          <w:i/>
          <w:noProof/>
        </w:rPr>
        <w:t xml:space="preserve">Za unos podataka u ovom odjeljku vidjeti odjeljak 4.11.1. CEEAG-a. </w:t>
      </w:r>
    </w:p>
    <w:p w14:paraId="3A4E7B20"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U članu 107 stav 3 tačka (c) Ugovora o funkcioniranju Evropske unije („Ugovor”) predviđena je mogućnost da Komisija usklađenom može proglasiti „pomoć za olakšavanje razvoja određenih ekonomskih djelatnosti ili određenih ekonomskih područja ako takva pomoć ne utiče negativno na  uslove konkurencije i trgovine u mjeri u kojoj bi to bilo suprotno zajedničkom interesu”. Stoga pomoć koja je usklađena na osnovu te odredbe Ugovora mora doprinijeti razvoju određene ekonomske djelatnosti. </w:t>
      </w:r>
    </w:p>
    <w:p w14:paraId="6FD65E94" w14:textId="77777777" w:rsidR="0044429C" w:rsidRPr="0086255B" w:rsidRDefault="0044429C" w:rsidP="0044429C">
      <w:pPr>
        <w:pStyle w:val="NumPar1"/>
        <w:tabs>
          <w:tab w:val="clear" w:pos="2625"/>
        </w:tabs>
        <w:ind w:left="360" w:firstLine="0"/>
        <w:rPr>
          <w:rFonts w:asciiTheme="minorHAnsi" w:hAnsiTheme="minorHAnsi" w:cstheme="minorHAnsi"/>
          <w:noProof/>
          <w:sz w:val="22"/>
        </w:rPr>
      </w:pPr>
      <w:r w:rsidRPr="0086255B">
        <w:rPr>
          <w:rFonts w:asciiTheme="minorHAnsi" w:hAnsiTheme="minorHAnsi" w:cstheme="minorHAnsi"/>
          <w:noProof/>
          <w:sz w:val="22"/>
        </w:rPr>
        <w:t>Nadalje, može se smatrati da državna pomoć olakšava ekonomsku djelatnost samo ako ima podsticajni efekat. Podsticajni efekat postoji ako pomoć podstiče korisnika da promijeni svoje ponašanje u pravcu razvoju ekonomske djelatnosti koja je predmet pomoći i ako do te promjene u ponašanju ne bi došlo bez dodjele pomoći.</w:t>
      </w:r>
    </w:p>
    <w:p w14:paraId="0DF75073" w14:textId="77777777" w:rsidR="0044429C" w:rsidRPr="0086255B" w:rsidRDefault="0044429C" w:rsidP="0044429C">
      <w:pPr>
        <w:pStyle w:val="Point1letter"/>
        <w:numPr>
          <w:ilvl w:val="3"/>
          <w:numId w:val="10"/>
        </w:numPr>
        <w:ind w:left="720" w:hanging="360"/>
        <w:rPr>
          <w:rFonts w:asciiTheme="minorHAnsi" w:hAnsiTheme="minorHAnsi" w:cstheme="minorHAnsi"/>
          <w:noProof/>
          <w:sz w:val="22"/>
        </w:rPr>
      </w:pPr>
      <w:r w:rsidRPr="0086255B">
        <w:rPr>
          <w:rFonts w:asciiTheme="minorHAnsi" w:hAnsiTheme="minorHAnsi" w:cstheme="minorHAnsi"/>
          <w:noProof/>
          <w:sz w:val="22"/>
        </w:rPr>
        <w:t xml:space="preserve">objasnite na koji način mehanizam smanjenja nameta obezbjeđuje podsticaje prihvatljivim privrednim društvima kako bi se izbjegao rizik od premještanja djelatnosti van Unije u okruženja gdje ekološka standardi ne postoje ili su manje ambiciozni ili se pružaju podsticaji za elektrifikaciju proizvodnih procesa u skladu sa tačkom 400 CEEAG-a; </w:t>
      </w:r>
    </w:p>
    <w:p w14:paraId="63D608D8" w14:textId="77777777" w:rsidR="0044429C" w:rsidRPr="0086255B" w:rsidRDefault="0044429C" w:rsidP="0044429C">
      <w:pPr>
        <w:pStyle w:val="Point1letter"/>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251E21BC" w14:textId="77777777" w:rsidR="0044429C" w:rsidRPr="0086255B" w:rsidRDefault="0044429C" w:rsidP="0044429C">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navedite u kojem je dijelu (nacrta) pravnog osnova je ovo razmatranje eksplicitno sadržano.</w:t>
      </w:r>
    </w:p>
    <w:p w14:paraId="1000E5EB" w14:textId="77777777" w:rsidR="0044429C" w:rsidRPr="0086255B" w:rsidRDefault="0044429C" w:rsidP="0044429C">
      <w:pPr>
        <w:pStyle w:val="Point1letter"/>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0D8119D4" w14:textId="77777777" w:rsidR="0044429C" w:rsidRPr="0086255B" w:rsidRDefault="0044429C" w:rsidP="0044429C">
      <w:pPr>
        <w:pStyle w:val="Heading2"/>
        <w:keepLines w:val="0"/>
        <w:numPr>
          <w:ilvl w:val="1"/>
          <w:numId w:val="9"/>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Nepostojanje povrede bilo koje odgovarajuće odredbe prava Unije</w:t>
      </w:r>
    </w:p>
    <w:p w14:paraId="2CC888FF" w14:textId="77777777" w:rsidR="0044429C" w:rsidRPr="0086255B" w:rsidRDefault="0044429C" w:rsidP="0044429C">
      <w:pPr>
        <w:spacing w:before="120" w:after="120"/>
        <w:jc w:val="both"/>
        <w:rPr>
          <w:rFonts w:cstheme="minorHAnsi"/>
          <w:i/>
          <w:iCs/>
          <w:noProof/>
        </w:rPr>
      </w:pPr>
      <w:r w:rsidRPr="0086255B">
        <w:rPr>
          <w:rFonts w:cstheme="minorHAnsi"/>
          <w:i/>
          <w:noProof/>
        </w:rPr>
        <w:t xml:space="preserve">Za unos podataka u ovom odjeljku vidjeti odjeljak 3.1.3. (tačka 33) CEEAG-a. </w:t>
      </w:r>
    </w:p>
    <w:p w14:paraId="243C7435"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Dostavite podatke koji potvrđuju usklađenost sa odgovarajućim odredbama prava EU-a u skladu sa tačkom 33 CEEAG-a. </w:t>
      </w:r>
    </w:p>
    <w:p w14:paraId="3E42D95D"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2599A2E6" w14:textId="77777777" w:rsidR="0044429C" w:rsidRPr="0086255B" w:rsidRDefault="0044429C" w:rsidP="0044429C">
      <w:pPr>
        <w:pStyle w:val="Heading1"/>
        <w:keepNext/>
        <w:numPr>
          <w:ilvl w:val="0"/>
          <w:numId w:val="9"/>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Negativni uslov: pomoć ne smije neopravdano uticati na uslove konkurencije i trgovine u mjeri u kojoj bi to bilo suprotno zajedničkom interesu</w:t>
      </w:r>
    </w:p>
    <w:p w14:paraId="120B0A6E" w14:textId="77777777" w:rsidR="0044429C" w:rsidRPr="0086255B" w:rsidRDefault="0044429C" w:rsidP="0044429C">
      <w:pPr>
        <w:pStyle w:val="Heading2"/>
        <w:keepLines w:val="0"/>
        <w:numPr>
          <w:ilvl w:val="1"/>
          <w:numId w:val="9"/>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Svođenje narušavanja konkurencije i trgovine na najmanju moguću mjeru </w:t>
      </w:r>
    </w:p>
    <w:p w14:paraId="4C9BCC44" w14:textId="77777777" w:rsidR="0044429C" w:rsidRPr="0086255B" w:rsidRDefault="0044429C" w:rsidP="0044429C">
      <w:pPr>
        <w:pStyle w:val="Heading3"/>
        <w:keepLines w:val="0"/>
        <w:numPr>
          <w:ilvl w:val="2"/>
          <w:numId w:val="9"/>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noProof/>
          <w:color w:val="auto"/>
          <w:sz w:val="22"/>
          <w:szCs w:val="22"/>
        </w:rPr>
        <w:t xml:space="preserve"> </w:t>
      </w:r>
      <w:r w:rsidRPr="0086255B">
        <w:rPr>
          <w:rFonts w:asciiTheme="minorHAnsi" w:hAnsiTheme="minorHAnsi" w:cstheme="minorHAnsi"/>
          <w:i/>
          <w:noProof/>
          <w:color w:val="auto"/>
          <w:sz w:val="22"/>
          <w:szCs w:val="22"/>
        </w:rPr>
        <w:t>Neophodnost i primjerenost za intervenciju državne pomoći</w:t>
      </w:r>
    </w:p>
    <w:p w14:paraId="0FF83049" w14:textId="77777777" w:rsidR="0044429C" w:rsidRPr="0086255B" w:rsidRDefault="0044429C" w:rsidP="0044429C">
      <w:pPr>
        <w:spacing w:before="120" w:after="120"/>
        <w:jc w:val="both"/>
        <w:rPr>
          <w:rFonts w:cstheme="minorHAnsi"/>
          <w:i/>
          <w:noProof/>
        </w:rPr>
      </w:pPr>
      <w:r w:rsidRPr="0086255B">
        <w:rPr>
          <w:rFonts w:cstheme="minorHAnsi"/>
          <w:i/>
          <w:noProof/>
        </w:rPr>
        <w:t xml:space="preserve">Za unos podataka u ovom odjeljku vidjeti odjeljak 4.11.2. i tačku 413 CEEAG-a. </w:t>
      </w:r>
    </w:p>
    <w:p w14:paraId="3F61235B"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Tačka 403 CEEAG-a primjenjuje se na smanjenje nameta za potrošnju električne energije kojima se finansiraju ciljevi energetske politike i politike zaštite životne sredine. Za svaki namet za koju je </w:t>
      </w:r>
      <w:r w:rsidRPr="0086255B">
        <w:rPr>
          <w:rFonts w:asciiTheme="minorHAnsi" w:hAnsiTheme="minorHAnsi" w:cstheme="minorHAnsi"/>
          <w:noProof/>
          <w:sz w:val="22"/>
        </w:rPr>
        <w:lastRenderedPageBreak/>
        <w:t xml:space="preserve">predviđeno odobravanje smanjenja dostavite potpun i detaljan opis prirode, područja primjene i primjene tih nameta tako da objasnite kako sistem nameta funkcioniše u praksi (funkcionisanje šeme i organa koje dodjeljuje bespovratna sredstva) kao i uz detaljno upućivanje na njegov regulatorni okvir (pravni osnov). </w:t>
      </w:r>
    </w:p>
    <w:p w14:paraId="0C9634CD"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79744EAC" w14:textId="77777777" w:rsidR="0044429C" w:rsidRPr="0086255B" w:rsidRDefault="0044429C" w:rsidP="0044429C">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Konkretno, dostavite informacije o sljedećim elementima:</w:t>
      </w:r>
    </w:p>
    <w:p w14:paraId="7DFB1125" w14:textId="77777777" w:rsidR="0044429C" w:rsidRPr="0086255B" w:rsidRDefault="0044429C" w:rsidP="0044429C">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svrha svakog nameta (objasnite na koji način se koriste prihodi ostvareni po osnovu svakog nameta);</w:t>
      </w:r>
    </w:p>
    <w:p w14:paraId="23CDB19A"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25232FD9" w14:textId="77777777" w:rsidR="0044429C" w:rsidRPr="0086255B" w:rsidRDefault="0044429C" w:rsidP="0044429C">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kako i kome se namet obračunava; koja je osnovica na koju se namet obračunava privrednom društvu; metodologiju za izračunavanje stope nameta; da li, zašto i na koji način se primjenjuju različite stope nameta u odnosu na osnovicu; koliko se često i na osnovu kojih kriterijuma se revidira stopa nameta;</w:t>
      </w:r>
    </w:p>
    <w:p w14:paraId="51EF5592"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65B2B5A7" w14:textId="77777777" w:rsidR="0044429C" w:rsidRPr="0086255B" w:rsidRDefault="0044429C" w:rsidP="0044429C">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opišite različite subjekte uključene u utvrđivanje i reviziju nameta, kao i subjekata koji su uključeni u prikupljanje i upravljanje prihodima ostvarenim po osnovu nameta;</w:t>
      </w:r>
    </w:p>
    <w:p w14:paraId="13EFABED"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6CA357EB" w14:textId="77777777" w:rsidR="0044429C" w:rsidRPr="0086255B" w:rsidRDefault="0044429C" w:rsidP="0044429C">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opišite način na koji funkcioniše sistem prikupljanja i preraspodjele nameta;</w:t>
      </w:r>
    </w:p>
    <w:p w14:paraId="5170D4BF"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709E7F52" w14:textId="77777777" w:rsidR="0044429C" w:rsidRPr="0086255B" w:rsidRDefault="0044429C" w:rsidP="0044429C">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navedite najnovije dostupne godišnje podatke o primijenjenim stopama nameta i ukupnim prikupljenim prihodima. Ako su dostupne, navedite i projekcije za budući period.</w:t>
      </w:r>
    </w:p>
    <w:p w14:paraId="0B876820"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64B24680" w14:textId="77777777" w:rsidR="0044429C" w:rsidRPr="0086255B" w:rsidRDefault="0044429C" w:rsidP="0044429C">
      <w:pPr>
        <w:numPr>
          <w:ilvl w:val="0"/>
          <w:numId w:val="7"/>
        </w:numPr>
        <w:tabs>
          <w:tab w:val="clear" w:pos="850"/>
        </w:tabs>
        <w:spacing w:before="120" w:after="120" w:line="240" w:lineRule="auto"/>
        <w:ind w:left="360" w:hanging="360"/>
        <w:jc w:val="both"/>
        <w:rPr>
          <w:rFonts w:cstheme="minorHAnsi"/>
          <w:noProof/>
        </w:rPr>
      </w:pPr>
      <w:r w:rsidRPr="0086255B">
        <w:rPr>
          <w:rFonts w:cstheme="minorHAnsi"/>
          <w:noProof/>
        </w:rPr>
        <w:t>U tački 404 CEEAG-a navodi se da države članice moraju objediniti sva smanjenja potencijalno višestrukih nameta za električnu energiju za velike potrošače energije u jedinstvenu šemu i obavijestiti Komisiju o kumulativnom efektu svih prihvatljivih nameta i svih predloženih smanjenja.</w:t>
      </w:r>
    </w:p>
    <w:p w14:paraId="26478327" w14:textId="77777777" w:rsidR="0044429C" w:rsidRPr="0086255B" w:rsidRDefault="0044429C" w:rsidP="0044429C">
      <w:pPr>
        <w:pStyle w:val="Point3letter"/>
        <w:tabs>
          <w:tab w:val="clear" w:pos="2551"/>
        </w:tabs>
        <w:ind w:left="720" w:hanging="360"/>
        <w:rPr>
          <w:rFonts w:asciiTheme="minorHAnsi" w:hAnsiTheme="minorHAnsi" w:cstheme="minorHAnsi"/>
          <w:noProof/>
          <w:sz w:val="22"/>
        </w:rPr>
      </w:pPr>
      <w:r w:rsidRPr="0086255B">
        <w:rPr>
          <w:rFonts w:asciiTheme="minorHAnsi" w:hAnsiTheme="minorHAnsi" w:cstheme="minorHAnsi"/>
          <w:noProof/>
          <w:sz w:val="22"/>
        </w:rPr>
        <w:t xml:space="preserve">potvrdite da su sva smanjenja nameta koja će se odobriti na osnovu odjeljka 4.11. CEEAG-a obuhvaćena prijavljenom mjerom, kao i da će se eventualna buduća smanjenja nameta koji nisu obuhvaćeni prijavljenom mjerom biti prijavljena izmjenom prijavljene mjere; </w:t>
      </w:r>
    </w:p>
    <w:p w14:paraId="207F432A" w14:textId="77777777" w:rsidR="0044429C" w:rsidRPr="0086255B" w:rsidRDefault="0044429C" w:rsidP="0044429C">
      <w:pPr>
        <w:pStyle w:val="Point3letter"/>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4D406D7C" w14:textId="77777777" w:rsidR="0044429C" w:rsidRPr="0086255B" w:rsidRDefault="0044429C" w:rsidP="0044429C">
      <w:pPr>
        <w:pStyle w:val="Point3letter"/>
        <w:tabs>
          <w:tab w:val="clear" w:pos="2551"/>
        </w:tabs>
        <w:ind w:left="720" w:hanging="360"/>
        <w:rPr>
          <w:rFonts w:asciiTheme="minorHAnsi" w:hAnsiTheme="minorHAnsi" w:cstheme="minorHAnsi"/>
          <w:noProof/>
          <w:sz w:val="22"/>
        </w:rPr>
      </w:pPr>
      <w:r w:rsidRPr="0086255B">
        <w:rPr>
          <w:rFonts w:asciiTheme="minorHAnsi" w:hAnsiTheme="minorHAnsi" w:cstheme="minorHAnsi"/>
          <w:noProof/>
          <w:sz w:val="22"/>
        </w:rPr>
        <w:t>na osnovu podataka iz prethodnih godina i mogućih projekcija dostavite podatke o kumulativnom efektu svih relevantnih nameta (u apsolutnom i relativnom iznosu, u poređenju sa ukupnim troškovima električne energije, kao i sa ukupnim nametima, naknadama i porezima na električnu energiju), kao i o povezanim smanjenjima za korisnike u okviru prijavljene šeme.</w:t>
      </w:r>
    </w:p>
    <w:p w14:paraId="3BB515F9" w14:textId="77777777" w:rsidR="0044429C" w:rsidRPr="0086255B" w:rsidRDefault="0044429C" w:rsidP="0044429C">
      <w:pPr>
        <w:pStyle w:val="Point3letter"/>
        <w:numPr>
          <w:ilvl w:val="0"/>
          <w:numId w:val="0"/>
        </w:numPr>
        <w:rPr>
          <w:rFonts w:asciiTheme="minorHAnsi" w:hAnsiTheme="minorHAnsi" w:cstheme="minorHAnsi"/>
          <w:noProof/>
          <w:sz w:val="22"/>
        </w:rPr>
      </w:pPr>
      <w:r w:rsidRPr="0086255B">
        <w:rPr>
          <w:rFonts w:asciiTheme="minorHAnsi" w:hAnsiTheme="minorHAnsi" w:cstheme="minorHAnsi"/>
          <w:noProof/>
          <w:sz w:val="22"/>
        </w:rPr>
        <w:t>..................................................................................................................................................................</w:t>
      </w:r>
    </w:p>
    <w:p w14:paraId="2D18C8D3" w14:textId="77777777" w:rsidR="0044429C" w:rsidRPr="0086255B" w:rsidRDefault="0044429C" w:rsidP="0044429C">
      <w:pPr>
        <w:numPr>
          <w:ilvl w:val="0"/>
          <w:numId w:val="7"/>
        </w:numPr>
        <w:tabs>
          <w:tab w:val="clear" w:pos="850"/>
        </w:tabs>
        <w:spacing w:before="120" w:after="120" w:line="240" w:lineRule="auto"/>
        <w:ind w:left="360" w:hanging="360"/>
        <w:jc w:val="both"/>
        <w:rPr>
          <w:rFonts w:cstheme="minorHAnsi"/>
          <w:noProof/>
        </w:rPr>
      </w:pPr>
      <w:r w:rsidRPr="0086255B">
        <w:rPr>
          <w:rFonts w:cstheme="minorHAnsi"/>
          <w:noProof/>
        </w:rPr>
        <w:t>Opišite da li će pomoć u okviru prijavljene mjere biti dodijeljena u obliku unaprijed (</w:t>
      </w:r>
      <w:r w:rsidRPr="0086255B">
        <w:rPr>
          <w:rFonts w:cstheme="minorHAnsi"/>
          <w:i/>
          <w:noProof/>
        </w:rPr>
        <w:t xml:space="preserve">ex ante) </w:t>
      </w:r>
      <w:r w:rsidRPr="0086255B">
        <w:rPr>
          <w:rFonts w:cstheme="minorHAnsi"/>
          <w:noProof/>
        </w:rPr>
        <w:t xml:space="preserve">odobrenog smanjenja nameta, naknadne kompenzacije (refundacije) nakon obračuna (ex post) ili njihove kombinacije. U odgovoru navedite konkretna upućivanja na (nacrt) pravnog osnova (npr. član 7 stav 3). </w:t>
      </w:r>
    </w:p>
    <w:p w14:paraId="2ADD188D" w14:textId="77777777" w:rsidR="0044429C" w:rsidRPr="0086255B" w:rsidRDefault="0044429C" w:rsidP="0044429C">
      <w:pPr>
        <w:spacing w:before="120" w:after="120"/>
        <w:jc w:val="both"/>
        <w:rPr>
          <w:rFonts w:cstheme="minorHAnsi"/>
          <w:noProof/>
        </w:rPr>
      </w:pPr>
      <w:r w:rsidRPr="0086255B">
        <w:rPr>
          <w:rFonts w:cstheme="minorHAnsi"/>
          <w:noProof/>
        </w:rPr>
        <w:t>..................................................................................................................................................................</w:t>
      </w:r>
    </w:p>
    <w:p w14:paraId="7F03A126" w14:textId="77777777" w:rsidR="0044429C" w:rsidRPr="0086255B" w:rsidRDefault="0044429C" w:rsidP="0044429C">
      <w:pPr>
        <w:pStyle w:val="Point4letter"/>
        <w:tabs>
          <w:tab w:val="clear" w:pos="3118"/>
        </w:tabs>
        <w:ind w:left="720" w:hanging="360"/>
        <w:rPr>
          <w:rFonts w:asciiTheme="minorHAnsi" w:hAnsiTheme="minorHAnsi" w:cstheme="minorHAnsi"/>
          <w:noProof/>
          <w:sz w:val="22"/>
        </w:rPr>
      </w:pPr>
      <w:r w:rsidRPr="0086255B">
        <w:rPr>
          <w:rFonts w:asciiTheme="minorHAnsi" w:hAnsiTheme="minorHAnsi" w:cstheme="minorHAnsi"/>
          <w:noProof/>
          <w:sz w:val="22"/>
        </w:rPr>
        <w:lastRenderedPageBreak/>
        <w:t>u skladu sa tačkom 413 CEEAG-a, ako se pomoć dodjeljuje u obliku smanjenja nameta, potvrdite:</w:t>
      </w:r>
    </w:p>
    <w:p w14:paraId="494A3D65" w14:textId="77777777" w:rsidR="0044429C" w:rsidRPr="0086255B" w:rsidRDefault="0044429C" w:rsidP="0044429C">
      <w:pPr>
        <w:pStyle w:val="ListParagraph"/>
        <w:numPr>
          <w:ilvl w:val="0"/>
          <w:numId w:val="5"/>
        </w:numPr>
        <w:spacing w:after="120"/>
        <w:ind w:left="1080" w:hanging="360"/>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t>da je uspostavljen mehanizam naknadnog (</w:t>
      </w:r>
      <w:r w:rsidRPr="0086255B">
        <w:rPr>
          <w:rFonts w:asciiTheme="minorHAnsi" w:hAnsiTheme="minorHAnsi" w:cstheme="minorHAnsi"/>
          <w:i/>
          <w:noProof/>
          <w:sz w:val="22"/>
          <w:szCs w:val="22"/>
        </w:rPr>
        <w:t>ex post)</w:t>
      </w:r>
      <w:r w:rsidRPr="0086255B">
        <w:rPr>
          <w:rFonts w:asciiTheme="minorHAnsi" w:hAnsiTheme="minorHAnsi" w:cstheme="minorHAnsi"/>
          <w:noProof/>
          <w:sz w:val="22"/>
          <w:szCs w:val="22"/>
        </w:rPr>
        <w:t xml:space="preserve"> praćenja;</w:t>
      </w:r>
    </w:p>
    <w:p w14:paraId="402218A5" w14:textId="77777777" w:rsidR="0044429C" w:rsidRPr="0086255B" w:rsidRDefault="0044429C" w:rsidP="0044429C">
      <w:pPr>
        <w:spacing w:before="120" w:after="120"/>
        <w:jc w:val="both"/>
        <w:rPr>
          <w:rFonts w:cstheme="minorHAnsi"/>
          <w:noProof/>
        </w:rPr>
      </w:pPr>
      <w:r w:rsidRPr="0086255B">
        <w:rPr>
          <w:rFonts w:cstheme="minorHAnsi"/>
          <w:noProof/>
        </w:rPr>
        <w:t>..................................................................................................................................................................</w:t>
      </w:r>
    </w:p>
    <w:p w14:paraId="77183A52" w14:textId="77777777" w:rsidR="0044429C" w:rsidRPr="0086255B" w:rsidRDefault="0044429C" w:rsidP="0044429C">
      <w:pPr>
        <w:pStyle w:val="ListParagraph"/>
        <w:numPr>
          <w:ilvl w:val="0"/>
          <w:numId w:val="5"/>
        </w:numPr>
        <w:spacing w:after="120"/>
        <w:ind w:left="1080" w:hanging="360"/>
        <w:contextualSpacing w:val="0"/>
        <w:rPr>
          <w:rFonts w:asciiTheme="minorHAnsi" w:hAnsiTheme="minorHAnsi" w:cstheme="minorHAnsi"/>
          <w:noProof/>
          <w:sz w:val="22"/>
          <w:szCs w:val="22"/>
        </w:rPr>
      </w:pPr>
      <w:r w:rsidRPr="0086255B">
        <w:rPr>
          <w:rFonts w:asciiTheme="minorHAnsi" w:hAnsiTheme="minorHAnsi" w:cstheme="minorHAnsi"/>
          <w:noProof/>
          <w:sz w:val="22"/>
          <w:szCs w:val="22"/>
        </w:rPr>
        <w:t>i da će svaki preplaćeni iznos pomoći biti vraćen najkasnije do 1. jula naredne godine. Navedite gdje se te informacije mogu pronaći u (nacrtu) pravnog osnova.</w:t>
      </w:r>
    </w:p>
    <w:p w14:paraId="77824775" w14:textId="77777777" w:rsidR="0044429C" w:rsidRPr="0086255B" w:rsidRDefault="0044429C" w:rsidP="0044429C">
      <w:pPr>
        <w:spacing w:before="120" w:after="120"/>
        <w:jc w:val="both"/>
        <w:rPr>
          <w:rFonts w:cstheme="minorHAnsi"/>
          <w:noProof/>
        </w:rPr>
      </w:pPr>
      <w:r w:rsidRPr="0086255B">
        <w:rPr>
          <w:rFonts w:cstheme="minorHAnsi"/>
          <w:noProof/>
        </w:rPr>
        <w:t>..................................................................................................................................................................</w:t>
      </w:r>
    </w:p>
    <w:p w14:paraId="5BFC5474" w14:textId="77777777" w:rsidR="0044429C" w:rsidRPr="0086255B" w:rsidRDefault="0044429C" w:rsidP="0044429C">
      <w:pPr>
        <w:pStyle w:val="Point0letter"/>
        <w:numPr>
          <w:ilvl w:val="1"/>
          <w:numId w:val="2"/>
        </w:numPr>
        <w:tabs>
          <w:tab w:val="clear" w:pos="850"/>
        </w:tabs>
        <w:ind w:left="720" w:hanging="360"/>
        <w:rPr>
          <w:rFonts w:asciiTheme="minorHAnsi" w:hAnsiTheme="minorHAnsi" w:cstheme="minorHAnsi"/>
          <w:noProof/>
          <w:sz w:val="22"/>
        </w:rPr>
      </w:pPr>
      <w:r w:rsidRPr="0086255B">
        <w:rPr>
          <w:rFonts w:asciiTheme="minorHAnsi" w:hAnsiTheme="minorHAnsi" w:cstheme="minorHAnsi"/>
          <w:noProof/>
          <w:sz w:val="22"/>
        </w:rPr>
        <w:t>u skladu sa zadnjom rečenicom tačke 413 CEEAG-a, ako se pomoć dodjeljuje u obliku povraćaja, potvrdite da se obračunava na osnovu stvarno zabilježenih nivoa potrošnje električne energije i, gdje je primjenjivo, bruto dodate vrijednosti u periodu tokom kojeg su se primjenjivali prihvatljivi nameti.</w:t>
      </w:r>
    </w:p>
    <w:p w14:paraId="7A40D734"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248CE9C4" w14:textId="77777777" w:rsidR="0044429C" w:rsidRPr="0086255B" w:rsidRDefault="0044429C" w:rsidP="0044429C">
      <w:pPr>
        <w:pStyle w:val="Heading2"/>
        <w:keepLines w:val="0"/>
        <w:numPr>
          <w:ilvl w:val="1"/>
          <w:numId w:val="9"/>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Prihvatljivost</w:t>
      </w:r>
    </w:p>
    <w:p w14:paraId="4CF0D20E" w14:textId="77777777" w:rsidR="0044429C" w:rsidRPr="0086255B" w:rsidRDefault="0044429C" w:rsidP="0044429C">
      <w:pPr>
        <w:spacing w:before="120" w:after="120"/>
        <w:jc w:val="both"/>
        <w:rPr>
          <w:rFonts w:cstheme="minorHAnsi"/>
          <w:i/>
          <w:noProof/>
        </w:rPr>
      </w:pPr>
      <w:r w:rsidRPr="0086255B">
        <w:rPr>
          <w:rFonts w:cstheme="minorHAnsi"/>
          <w:i/>
          <w:noProof/>
        </w:rPr>
        <w:t xml:space="preserve">Za unos podataka u ovom odjeljku vidjeti odjeljak 4.11.3.1. (tačke od 405 do 407) CEEAG-a.. </w:t>
      </w:r>
    </w:p>
    <w:p w14:paraId="4DB7325C"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U tački 405 CEEAG-a definisani su elektro-intenzivni sektori „izloženi značajnom riziku” (tačka (a)) i „izloženi riziku” (tačka (b)). Kako bi se dokazala usklađenost sa tačkom 405 CEEAG-a, potvrdite da su svi prihvatljivi elektro-intenzivni sektori „izloženi značajnom riziku” i „izloženi riziku” u okviru prijavljene mjere navedeni u povezanim dijelovima Priloga I CEEAG-u, kao i u prilogu ovom obrascu dostavite popis sektora NACE 4 „izloženih značajnom riziku” i „izloženih riziku” koji ispunjavaju uslove za pomoć u okviru mjere, </w:t>
      </w:r>
      <w:r w:rsidRPr="0086255B">
        <w:rPr>
          <w:rFonts w:asciiTheme="minorHAnsi" w:hAnsiTheme="minorHAnsi" w:cstheme="minorHAnsi"/>
          <w:noProof/>
          <w:sz w:val="22"/>
          <w:shd w:val="clear" w:color="auto" w:fill="FFFFFF"/>
        </w:rPr>
        <w:t>navodeći gdje se te informacije mogu pronaći u (nacrtu) pravnog osnova (npr. član 7 stav 3).</w:t>
      </w:r>
    </w:p>
    <w:p w14:paraId="0813D402"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7BB9095E"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tački 406 CEEAG-a navodi se da se sektor ili podsektor</w:t>
      </w:r>
      <w:r w:rsidRPr="0086255B">
        <w:rPr>
          <w:rStyle w:val="FootnoteReference"/>
          <w:rFonts w:asciiTheme="minorHAnsi" w:hAnsiTheme="minorHAnsi" w:cstheme="minorHAnsi"/>
          <w:noProof/>
          <w:sz w:val="22"/>
        </w:rPr>
        <w:footnoteReference w:id="3"/>
      </w:r>
      <w:r w:rsidRPr="0086255B">
        <w:rPr>
          <w:rFonts w:asciiTheme="minorHAnsi" w:hAnsiTheme="minorHAnsi" w:cstheme="minorHAnsi"/>
          <w:noProof/>
          <w:sz w:val="22"/>
        </w:rPr>
        <w:t xml:space="preserve"> koji nije naveden u Prilogu I CEEAG-u takođe smatra prihvatljivim ako ispunjava kriterijume prihvatljivosti iz tačke 405. Ako se pomoć u okviru prijavljene mjere namjerava dodijeliti i sektorima i/ili podsektorima koji nisu navedeni u Prilogu I CEEAG-u:</w:t>
      </w:r>
    </w:p>
    <w:p w14:paraId="04A967A5" w14:textId="77777777" w:rsidR="0044429C" w:rsidRPr="0086255B" w:rsidRDefault="0044429C" w:rsidP="0044429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dokažite usklađenost sa metodologijom iz tačke 405. CEEAG-a za svaki pojedinačni (pod)sektor;</w:t>
      </w:r>
    </w:p>
    <w:p w14:paraId="71F9C83B" w14:textId="77777777" w:rsidR="0044429C" w:rsidRPr="0086255B" w:rsidRDefault="0044429C" w:rsidP="0044429C">
      <w:pPr>
        <w:tabs>
          <w:tab w:val="left" w:leader="dot" w:pos="9072"/>
        </w:tabs>
        <w:spacing w:before="120" w:after="120"/>
        <w:jc w:val="both"/>
        <w:rPr>
          <w:rFonts w:cstheme="minorHAnsi"/>
          <w:noProof/>
        </w:rPr>
      </w:pPr>
      <w:bookmarkStart w:id="0" w:name="_Hlk219963551"/>
      <w:r w:rsidRPr="0086255B">
        <w:rPr>
          <w:rFonts w:cstheme="minorHAnsi"/>
          <w:noProof/>
        </w:rPr>
        <w:tab/>
      </w:r>
    </w:p>
    <w:bookmarkEnd w:id="0"/>
    <w:p w14:paraId="16836E7B" w14:textId="77777777" w:rsidR="0044429C" w:rsidRPr="0086255B" w:rsidRDefault="0044429C" w:rsidP="0044429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u prilogu ovog obrasca dostavite podatke koji su reprezentativni za sektor ili podsektor na nivou Unije</w:t>
      </w:r>
      <w:r w:rsidRPr="0086255B">
        <w:rPr>
          <w:rStyle w:val="FootnoteReference"/>
          <w:rFonts w:asciiTheme="minorHAnsi" w:hAnsiTheme="minorHAnsi" w:cstheme="minorHAnsi"/>
          <w:noProof/>
          <w:sz w:val="22"/>
        </w:rPr>
        <w:footnoteReference w:id="4"/>
      </w:r>
      <w:r w:rsidRPr="0086255B">
        <w:rPr>
          <w:rFonts w:asciiTheme="minorHAnsi" w:hAnsiTheme="minorHAnsi" w:cstheme="minorHAnsi"/>
          <w:noProof/>
          <w:sz w:val="22"/>
        </w:rPr>
        <w:t>, koje je provjerio nezavisni stručnjak i koji se odnose na period od najmanje tri uzastopne godine, počev najranije od 2013. godine.</w:t>
      </w:r>
    </w:p>
    <w:p w14:paraId="4B321FA7" w14:textId="77777777" w:rsidR="0044429C" w:rsidRPr="0086255B" w:rsidRDefault="0044429C" w:rsidP="0044429C">
      <w:pPr>
        <w:pStyle w:val="Point0number"/>
        <w:tabs>
          <w:tab w:val="left" w:leader="dot" w:pos="9072"/>
        </w:tabs>
        <w:rPr>
          <w:rFonts w:asciiTheme="minorHAnsi" w:hAnsiTheme="minorHAnsi" w:cstheme="minorHAnsi"/>
          <w:noProof/>
          <w:sz w:val="22"/>
        </w:rPr>
      </w:pPr>
      <w:r w:rsidRPr="0086255B">
        <w:rPr>
          <w:rFonts w:asciiTheme="minorHAnsi" w:hAnsiTheme="minorHAnsi" w:cstheme="minorHAnsi"/>
          <w:noProof/>
          <w:sz w:val="22"/>
        </w:rPr>
        <w:tab/>
      </w:r>
    </w:p>
    <w:p w14:paraId="5CF521A2"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Opišite na koji način će podnosioci zahtjeva morati dokazati da posluju u prihvatljivom sektoru i navedite gdje se te informacije mogu pronaći u (nacrtu) pravnog osnova (npr. član 7 stav 3).</w:t>
      </w:r>
    </w:p>
    <w:p w14:paraId="43182722"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10A210AE"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lastRenderedPageBreak/>
        <w:t>Navedite sve ostale uslove koji su prihvatljivi za pomoć u okviru prijavljene mjere i navedite gdje se ti podaci mogu pronaći u pravnoj osnovi (npr. član 7 stav 3). Konkretno, objasnite: (a) da li su korisnici ili (pod)sektori koji su u načelu prihvatljivi na osnovu Priloga I CEEAG-u isključeni, (b) da li postoje dodatni kriterijumi prihvatljivosti koji se primjenjuju, a nisu navedeni u odjeljku 4.11. CEEAG-a ili (c) da li su predviđena različita smanjenja nameta za korisnike iz iste kategorije.</w:t>
      </w:r>
    </w:p>
    <w:p w14:paraId="3466A812"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614A919B"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407 CEEAG-a moguće je dodatno ograničiti prihvatljive korisnike mjere. Ako je to slučaj, za svaki takav dodatni uslov prihvatljivosti dajte obrazloženje i dokažite da se (i) odgovarajući uslov zasniva na objektivnim, nediskriminatornim i transparentnim kriterijimima i da se (ii) pomoć u načelu dodjeljuje na isti način svim prihvatljivim korisnicima u istom sektoru ako se nalaze u istoj ili sličnoj činjeničnoj situaciji.</w:t>
      </w:r>
    </w:p>
    <w:p w14:paraId="04C0C3B3"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72205C14" w14:textId="77777777" w:rsidR="0044429C" w:rsidRPr="0086255B" w:rsidRDefault="0044429C" w:rsidP="0044429C">
      <w:pPr>
        <w:pStyle w:val="Heading2"/>
        <w:keepLines w:val="0"/>
        <w:numPr>
          <w:ilvl w:val="1"/>
          <w:numId w:val="9"/>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Proporcionalnost pomoći (pomoć ograničena na minimum potreban za postizanje cilja), uključujući kumulaciju</w:t>
      </w:r>
    </w:p>
    <w:p w14:paraId="5E7951FE" w14:textId="77777777" w:rsidR="0044429C" w:rsidRPr="0086255B" w:rsidRDefault="0044429C" w:rsidP="0044429C">
      <w:pPr>
        <w:pStyle w:val="Heading3"/>
        <w:keepLines w:val="0"/>
        <w:numPr>
          <w:ilvl w:val="2"/>
          <w:numId w:val="9"/>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noProof/>
          <w:color w:val="auto"/>
          <w:sz w:val="22"/>
          <w:szCs w:val="22"/>
        </w:rPr>
        <w:t xml:space="preserve"> </w:t>
      </w:r>
      <w:r w:rsidRPr="0086255B">
        <w:rPr>
          <w:rFonts w:asciiTheme="minorHAnsi" w:hAnsiTheme="minorHAnsi" w:cstheme="minorHAnsi"/>
          <w:i/>
          <w:noProof/>
          <w:color w:val="auto"/>
          <w:sz w:val="22"/>
          <w:szCs w:val="22"/>
        </w:rPr>
        <w:t>Proporcionalnost pomoći</w:t>
      </w:r>
    </w:p>
    <w:p w14:paraId="6F4B584F" w14:textId="77777777" w:rsidR="0044429C" w:rsidRPr="0086255B" w:rsidRDefault="0044429C" w:rsidP="0044429C">
      <w:pPr>
        <w:spacing w:before="120" w:after="120"/>
        <w:jc w:val="both"/>
        <w:rPr>
          <w:rFonts w:cstheme="minorHAnsi"/>
          <w:i/>
          <w:noProof/>
        </w:rPr>
      </w:pPr>
      <w:r w:rsidRPr="0086255B">
        <w:rPr>
          <w:rFonts w:cstheme="minorHAnsi"/>
          <w:i/>
          <w:noProof/>
        </w:rPr>
        <w:t>Za unos podataka u ovom odjeljku vidjeti odjeljak 4.11.3.2. i tačku 407 CEEAG-a.</w:t>
      </w:r>
    </w:p>
    <w:p w14:paraId="3887C323"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dokazala usklađenost sa odjeljkom 4.11.3.2. i tačkom 407 CEEAG-a, dostavite potpun i detaljan opis metodologije za obračun smanjenja nameta koji se primjenjuju na prihvatljive korisnike i navedite gdje se te informacije mogu pronaći u (nacrtu) pravnog osnova (npr. član 7 stav 3). Konkretno:</w:t>
      </w:r>
    </w:p>
    <w:p w14:paraId="4B55FA0B" w14:textId="77777777" w:rsidR="0044429C" w:rsidRPr="0086255B" w:rsidRDefault="0044429C" w:rsidP="0044429C">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navedite maksimalnu stopu smanjenja nameta koja se primjenjuje na privredna društva koja posluju u sektorima „izloženim značajnom riziku” i „izloženim riziku”;</w:t>
      </w:r>
    </w:p>
    <w:p w14:paraId="3C665A27"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w:t>
      </w:r>
    </w:p>
    <w:p w14:paraId="3D9D620F" w14:textId="77777777" w:rsidR="0044429C" w:rsidRPr="0086255B" w:rsidRDefault="0044429C" w:rsidP="0044429C">
      <w:pPr>
        <w:pStyle w:val="Point0letter"/>
        <w:numPr>
          <w:ilvl w:val="1"/>
          <w:numId w:val="11"/>
        </w:numPr>
        <w:tabs>
          <w:tab w:val="clear" w:pos="850"/>
        </w:tabs>
        <w:ind w:left="720" w:hanging="360"/>
        <w:rPr>
          <w:rFonts w:asciiTheme="minorHAnsi" w:hAnsiTheme="minorHAnsi" w:cstheme="minorHAnsi"/>
          <w:noProof/>
          <w:sz w:val="22"/>
        </w:rPr>
      </w:pPr>
      <w:r w:rsidRPr="0086255B">
        <w:rPr>
          <w:rFonts w:asciiTheme="minorHAnsi" w:hAnsiTheme="minorHAnsi" w:cstheme="minorHAnsi"/>
          <w:noProof/>
          <w:sz w:val="22"/>
        </w:rPr>
        <w:t>navedite da li se prijavljenom mjerom predviđa, u poređenju sa prethodnom tačkom „(i)”, dalje ograničavanje dodatnih troškova koji proizlaze iz relevantnih nameta na električnu energiju. Ako je to slučaj, takođe navedite: (a) vrijednost takvih ograničenja u odnosu na bruto dodatu vrijednost („BDV”) privrednih društava koja posluju u sektorima „izloženim značajnom riziku” i „izloženim riziku” i (b) opišite način na koji se obračunava BDV prihvatljivih privrednih društava koja posluju u sektorima „izloženim značajnom riziku” i „izloženim riziku”;</w:t>
      </w:r>
    </w:p>
    <w:p w14:paraId="59C7B5C2"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w:t>
      </w:r>
    </w:p>
    <w:p w14:paraId="5D94CB49" w14:textId="77777777" w:rsidR="0044429C" w:rsidRPr="0086255B" w:rsidRDefault="0044429C" w:rsidP="0044429C">
      <w:pPr>
        <w:pStyle w:val="Point0letter"/>
        <w:numPr>
          <w:ilvl w:val="1"/>
          <w:numId w:val="2"/>
        </w:numPr>
        <w:tabs>
          <w:tab w:val="clear" w:pos="850"/>
        </w:tabs>
        <w:ind w:left="720" w:hanging="360"/>
        <w:rPr>
          <w:rFonts w:asciiTheme="minorHAnsi" w:hAnsiTheme="minorHAnsi" w:cstheme="minorHAnsi"/>
          <w:noProof/>
          <w:sz w:val="22"/>
        </w:rPr>
      </w:pPr>
      <w:r w:rsidRPr="0086255B">
        <w:rPr>
          <w:rFonts w:asciiTheme="minorHAnsi" w:hAnsiTheme="minorHAnsi" w:cstheme="minorHAnsi"/>
          <w:noProof/>
          <w:sz w:val="22"/>
        </w:rPr>
        <w:t xml:space="preserve">potvrdite da smanjenje nameta ni u kojem slučaju neće dovesti do toga da iznos nameta padne ispod 0,5 EUR/MWh. </w:t>
      </w:r>
    </w:p>
    <w:p w14:paraId="30479A5E"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45F9E2BD"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Navedite da li se prijavljenom mjerom predviđa, u skladu sa tačkom 410 CEEAG-a, veći intenzitet pomoći za privredna društva koja posluju u sektorima „izloženim riziku” koji smanjuju ugljenični otisak svoje potrošnje električne energije. </w:t>
      </w:r>
    </w:p>
    <w:p w14:paraId="1E7C374B" w14:textId="77777777" w:rsidR="0044429C" w:rsidRPr="0086255B" w:rsidRDefault="0044429C" w:rsidP="0044429C">
      <w:pPr>
        <w:pStyle w:val="Text1"/>
        <w:spacing w:after="120"/>
        <w:ind w:left="0" w:firstLine="0"/>
        <w:rPr>
          <w:rFonts w:asciiTheme="minorHAnsi" w:hAnsiTheme="minorHAnsi" w:cstheme="minorHAnsi"/>
          <w:noProof/>
          <w:sz w:val="22"/>
          <w:szCs w:val="22"/>
        </w:rPr>
      </w:pPr>
      <w:r w:rsidRPr="0086255B">
        <w:rPr>
          <w:rFonts w:asciiTheme="minorHAnsi" w:hAnsiTheme="minorHAnsi" w:cstheme="minorHAnsi"/>
          <w:noProof/>
          <w:sz w:val="22"/>
          <w:szCs w:val="22"/>
        </w:rPr>
        <w:t>Ako je odgovor potvrdan:</w:t>
      </w:r>
    </w:p>
    <w:p w14:paraId="1E61E86D" w14:textId="77777777" w:rsidR="0044429C" w:rsidRPr="0086255B" w:rsidRDefault="0044429C" w:rsidP="0044429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opišite veće intenzitete pomoći i potvrdite povezane uslove koje predmetna privredna društva moraju ispuniti (tj. najmanje 50 % potrošnje električne energije iz izvora bez emisija ugljenika, od čega najmanje 10 % iz terminskog instrumenta kao što je ugovor o kupovini električne energije </w:t>
      </w:r>
      <w:r w:rsidRPr="0086255B">
        <w:rPr>
          <w:rFonts w:asciiTheme="minorHAnsi" w:hAnsiTheme="minorHAnsi" w:cstheme="minorHAnsi"/>
          <w:noProof/>
          <w:sz w:val="22"/>
        </w:rPr>
        <w:lastRenderedPageBreak/>
        <w:t>(PPA) ili najmanje 5 % iz proizvodnje na lokaciji ili u njenoj neposrednoj blizini), navodeći gdje se te informacije mogu pronaći u (nacrtu) pravnog osnova (npr. član 7 stav 3);</w:t>
      </w:r>
    </w:p>
    <w:p w14:paraId="2D1E6F92"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w:t>
      </w:r>
    </w:p>
    <w:p w14:paraId="03AB02F1" w14:textId="77777777" w:rsidR="0044429C" w:rsidRPr="0086255B" w:rsidRDefault="0044429C" w:rsidP="0044429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 xml:space="preserve">opišite na koji način će se pratiti ispunjavanje tih uslova i, u slučaju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monitoringa, kakve bi bile posljedice u slučaju neispunjavanja uslova od strane privrednih društava.</w:t>
      </w:r>
    </w:p>
    <w:p w14:paraId="529C954A"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5C182B7F"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Ako je primjenjivo, opišite svaku dalju modulaciju stope smanjenja nameta među korisnicima koji posluju u sektorima „izloženim značajnom riziku” i „izloženim riziku”, navodeći gdje se te informacije mogu pronaći u (nacrtu) pravnog osnova (npr. član 7 stav 3). Dokažite da se (a) različita smanjenja nameta zasnivaju na objektivnim, nediskriminatornim i transparentnim kriterijumima, i da se (b) pomoć u principu dodjeljuje na isti način svim prihvatljivim korisnicima u istom sektoru ako se nalaze u istoj ili sličnoj činjeničnoj situaciji. </w:t>
      </w:r>
    </w:p>
    <w:p w14:paraId="26498B65"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6E755683" w14:textId="77777777" w:rsidR="0044429C" w:rsidRPr="0086255B" w:rsidRDefault="0044429C" w:rsidP="0044429C">
      <w:pPr>
        <w:pStyle w:val="Heading3"/>
        <w:keepLines w:val="0"/>
        <w:numPr>
          <w:ilvl w:val="2"/>
          <w:numId w:val="9"/>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Energetski pregledi i sistemi upravljanja energijom</w:t>
      </w:r>
    </w:p>
    <w:p w14:paraId="2684E1F8" w14:textId="77777777" w:rsidR="0044429C" w:rsidRPr="0086255B" w:rsidRDefault="0044429C" w:rsidP="0044429C">
      <w:pPr>
        <w:spacing w:before="120" w:after="120"/>
        <w:jc w:val="both"/>
        <w:rPr>
          <w:rFonts w:cstheme="minorHAnsi"/>
          <w:i/>
        </w:rPr>
      </w:pPr>
      <w:r w:rsidRPr="0086255B">
        <w:rPr>
          <w:rFonts w:cstheme="minorHAnsi"/>
          <w:i/>
        </w:rPr>
        <w:t xml:space="preserve">Za </w:t>
      </w:r>
      <w:proofErr w:type="spellStart"/>
      <w:r w:rsidRPr="0086255B">
        <w:rPr>
          <w:rFonts w:cstheme="minorHAnsi"/>
          <w:i/>
        </w:rPr>
        <w:t>unos</w:t>
      </w:r>
      <w:proofErr w:type="spellEnd"/>
      <w:r w:rsidRPr="0086255B">
        <w:rPr>
          <w:rFonts w:cstheme="minorHAnsi"/>
          <w:i/>
        </w:rPr>
        <w:t xml:space="preserve"> </w:t>
      </w:r>
      <w:proofErr w:type="spellStart"/>
      <w:r w:rsidRPr="0086255B">
        <w:rPr>
          <w:rFonts w:cstheme="minorHAnsi"/>
          <w:i/>
        </w:rPr>
        <w:t>podataka</w:t>
      </w:r>
      <w:proofErr w:type="spellEnd"/>
      <w:r w:rsidRPr="0086255B">
        <w:rPr>
          <w:rFonts w:cstheme="minorHAnsi"/>
          <w:i/>
        </w:rPr>
        <w:t xml:space="preserve"> u </w:t>
      </w:r>
      <w:proofErr w:type="spellStart"/>
      <w:r w:rsidRPr="0086255B">
        <w:rPr>
          <w:rFonts w:cstheme="minorHAnsi"/>
          <w:i/>
        </w:rPr>
        <w:t>ovom</w:t>
      </w:r>
      <w:proofErr w:type="spellEnd"/>
      <w:r w:rsidRPr="0086255B">
        <w:rPr>
          <w:rFonts w:cstheme="minorHAnsi"/>
          <w:i/>
        </w:rPr>
        <w:t xml:space="preserve"> </w:t>
      </w:r>
      <w:proofErr w:type="spellStart"/>
      <w:r w:rsidRPr="0086255B">
        <w:rPr>
          <w:rFonts w:cstheme="minorHAnsi"/>
          <w:i/>
        </w:rPr>
        <w:t>odjeljku</w:t>
      </w:r>
      <w:proofErr w:type="spellEnd"/>
      <w:r w:rsidRPr="0086255B">
        <w:rPr>
          <w:rFonts w:cstheme="minorHAnsi"/>
          <w:i/>
        </w:rPr>
        <w:t xml:space="preserve"> </w:t>
      </w:r>
      <w:proofErr w:type="spellStart"/>
      <w:r w:rsidRPr="0086255B">
        <w:rPr>
          <w:rFonts w:cstheme="minorHAnsi"/>
          <w:i/>
        </w:rPr>
        <w:t>vidjeti</w:t>
      </w:r>
      <w:proofErr w:type="spellEnd"/>
      <w:r w:rsidRPr="0086255B">
        <w:rPr>
          <w:rFonts w:cstheme="minorHAnsi"/>
          <w:i/>
        </w:rPr>
        <w:t xml:space="preserve"> </w:t>
      </w:r>
      <w:proofErr w:type="spellStart"/>
      <w:r w:rsidRPr="0086255B">
        <w:rPr>
          <w:rFonts w:cstheme="minorHAnsi"/>
          <w:i/>
        </w:rPr>
        <w:t>tačke</w:t>
      </w:r>
      <w:proofErr w:type="spellEnd"/>
      <w:r w:rsidRPr="0086255B">
        <w:rPr>
          <w:rFonts w:cstheme="minorHAnsi"/>
          <w:i/>
        </w:rPr>
        <w:t xml:space="preserve"> 4.11.3.4. CEEAG-a.</w:t>
      </w:r>
    </w:p>
    <w:p w14:paraId="52DD9CAB"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414 CEEAG-a, opišite na koji način će nacionalna organi, u okviru prijavljene mjere, provjeriti da li korisnici ispunjavaju obavezu sprovođenja energetskog pregleda u smislu člana 8 Direktive 2012/27/EU. Navedite gdje se te informacije mogu pronaći u (nacrtu) pravnog osnova osnove (npr. član 7 stav 3).</w:t>
      </w:r>
    </w:p>
    <w:p w14:paraId="1AD02118"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3D924872"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tački 415 CEEAG-a propisano je da korisnici koji su obavezni da sprovode energetski pregled moraju da se pridržavaju najmanje jedne od sljedeće tri mogućnosti, odnosno (a) sprovesti preporuke iz izvještaja o pregledu na način da period povraćaja ne prelazi tri godine i da su troškovi njihovih ulaganja proporcionalni ili (b) pokriti najmanje 30 % svoje potrošnje električne energije iz izvora bez emisija ugljen-dioksida ili (c) uložiti najmanje 50 % pomoći u projekte koji dovode do značajnog smanjenja emisije gasova sa efektom staklene bašte. Opišite kako će nacionalni organi u okviru prijavljene mjere pratiti da li korisnici koji su obavezni da sprovedu energetski pregled u skladu sa članom 8 stav 4 Direktive 2012/27/EU ispunjavaju jednu ili više od tri mogućnosti iz tačke 415 CEEAG-a, navodeći gdje se te informacije mogu pronaći u (nacrtu) pravnog osnova (npr. član 7 stav 3). Konkretno, navedite detalje za svaku mogućnost predviđenu prijavljenom mjerom:</w:t>
      </w:r>
    </w:p>
    <w:p w14:paraId="2FF21621" w14:textId="77777777" w:rsidR="0044429C" w:rsidRPr="0086255B" w:rsidRDefault="0044429C" w:rsidP="0044429C">
      <w:pPr>
        <w:pStyle w:val="Point1letter"/>
        <w:numPr>
          <w:ilvl w:val="0"/>
          <w:numId w:val="6"/>
        </w:numPr>
        <w:rPr>
          <w:rFonts w:asciiTheme="minorHAnsi" w:hAnsiTheme="minorHAnsi" w:cstheme="minorHAnsi"/>
          <w:noProof/>
          <w:sz w:val="22"/>
        </w:rPr>
      </w:pPr>
      <w:r w:rsidRPr="0086255B">
        <w:rPr>
          <w:rFonts w:asciiTheme="minorHAnsi" w:hAnsiTheme="minorHAnsi" w:cstheme="minorHAnsi"/>
          <w:noProof/>
          <w:sz w:val="22"/>
        </w:rPr>
        <w:t>na koji način će korisnici tačno morati dokazati usklađenost;</w:t>
      </w:r>
    </w:p>
    <w:p w14:paraId="7547CC39"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w:t>
      </w:r>
    </w:p>
    <w:p w14:paraId="5E72978C" w14:textId="77777777" w:rsidR="0044429C" w:rsidRPr="0086255B" w:rsidRDefault="0044429C" w:rsidP="0044429C">
      <w:pPr>
        <w:pStyle w:val="Point1letter"/>
        <w:numPr>
          <w:ilvl w:val="0"/>
          <w:numId w:val="6"/>
        </w:numPr>
        <w:rPr>
          <w:rFonts w:asciiTheme="minorHAnsi" w:hAnsiTheme="minorHAnsi" w:cstheme="minorHAnsi"/>
          <w:noProof/>
          <w:sz w:val="22"/>
        </w:rPr>
      </w:pPr>
      <w:r w:rsidRPr="0086255B">
        <w:rPr>
          <w:rFonts w:asciiTheme="minorHAnsi" w:hAnsiTheme="minorHAnsi" w:cstheme="minorHAnsi"/>
          <w:noProof/>
          <w:sz w:val="22"/>
        </w:rPr>
        <w:t>koji je rok za usklađenost (npr. da se završe odgovarajuća ulaganja u roku od jedne godine od dodjele pomoći) i koliko će često korisnici morati da dokazuju usklađenost (npr. na godišnjem nivou);</w:t>
      </w:r>
    </w:p>
    <w:p w14:paraId="6D2CC4FA"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w:t>
      </w:r>
    </w:p>
    <w:p w14:paraId="698D92F8" w14:textId="77777777" w:rsidR="0044429C" w:rsidRPr="0086255B" w:rsidRDefault="0044429C" w:rsidP="0044429C">
      <w:pPr>
        <w:pStyle w:val="Point1letter"/>
        <w:numPr>
          <w:ilvl w:val="0"/>
          <w:numId w:val="6"/>
        </w:numPr>
        <w:rPr>
          <w:rFonts w:asciiTheme="minorHAnsi" w:hAnsiTheme="minorHAnsi" w:cstheme="minorHAnsi"/>
          <w:noProof/>
          <w:sz w:val="22"/>
        </w:rPr>
      </w:pPr>
      <w:r w:rsidRPr="0086255B">
        <w:rPr>
          <w:rFonts w:asciiTheme="minorHAnsi" w:hAnsiTheme="minorHAnsi" w:cstheme="minorHAnsi"/>
          <w:noProof/>
          <w:sz w:val="22"/>
        </w:rPr>
        <w:t>na koji način i koliko često će se pratiti ispunjavanje uslova (npr. na godišnjem nivou);</w:t>
      </w:r>
    </w:p>
    <w:p w14:paraId="774C2083"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w:t>
      </w:r>
    </w:p>
    <w:p w14:paraId="3E883B6C" w14:textId="77777777" w:rsidR="0044429C" w:rsidRPr="0086255B" w:rsidRDefault="0044429C" w:rsidP="0044429C">
      <w:pPr>
        <w:pStyle w:val="Point1letter"/>
        <w:numPr>
          <w:ilvl w:val="0"/>
          <w:numId w:val="6"/>
        </w:numPr>
        <w:rPr>
          <w:rFonts w:asciiTheme="minorHAnsi" w:hAnsiTheme="minorHAnsi" w:cstheme="minorHAnsi"/>
          <w:noProof/>
          <w:sz w:val="22"/>
        </w:rPr>
      </w:pPr>
      <w:r w:rsidRPr="0086255B">
        <w:rPr>
          <w:rFonts w:asciiTheme="minorHAnsi" w:hAnsiTheme="minorHAnsi" w:cstheme="minorHAnsi"/>
          <w:noProof/>
          <w:sz w:val="22"/>
        </w:rPr>
        <w:lastRenderedPageBreak/>
        <w:t>koje će biti posljedice neusklađenosti za korisnike (npr. odbijanje dodjele pomoći ako je sprovedena prethodna provjera, ili povraćaj već dodijeljene pomoći ako je sprovedena naknadna provjera).</w:t>
      </w:r>
    </w:p>
    <w:p w14:paraId="0B5C8590"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777CAB4B" w14:textId="77777777" w:rsidR="0044429C" w:rsidRPr="0086255B" w:rsidRDefault="0044429C" w:rsidP="0044429C">
      <w:pPr>
        <w:pStyle w:val="Heading3"/>
        <w:keepLines w:val="0"/>
        <w:numPr>
          <w:ilvl w:val="2"/>
          <w:numId w:val="9"/>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i/>
          <w:noProof/>
          <w:color w:val="auto"/>
          <w:sz w:val="22"/>
          <w:szCs w:val="22"/>
        </w:rPr>
        <w:t>Kumulacija pomoći</w:t>
      </w:r>
    </w:p>
    <w:p w14:paraId="04C44F1D" w14:textId="77777777" w:rsidR="0044429C" w:rsidRPr="0086255B" w:rsidRDefault="0044429C" w:rsidP="0044429C">
      <w:pPr>
        <w:spacing w:before="120" w:after="120"/>
        <w:jc w:val="both"/>
        <w:rPr>
          <w:rFonts w:cstheme="minorHAnsi"/>
          <w:i/>
          <w:noProof/>
        </w:rPr>
      </w:pPr>
      <w:bookmarkStart w:id="1" w:name="_Hlk219967668"/>
      <w:r w:rsidRPr="0086255B">
        <w:rPr>
          <w:rFonts w:cstheme="minorHAnsi"/>
          <w:i/>
          <w:noProof/>
        </w:rPr>
        <w:t>Za unos podataka u ovom odjeljku vidjeti tačke 56 i 57 CEEAG-a.</w:t>
      </w:r>
    </w:p>
    <w:bookmarkEnd w:id="1"/>
    <w:p w14:paraId="7A1BD08A"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Ako to već nije navedeno u dijelu I opšteg obrasca prijave i kako bi se provjerila usklađenost sa tačkom 56 CEEAG-a, objasnite da li se pomoć u okviru prijavljenih mjera može dodijeliti istovremeno u okviru nekoliko šema pomoći ili kumulirati sa ad-hoc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u odnosu na iste opravdane troškove. Ako može, navedite detalje o tim šemama pomoći, ad-hoc pomoći ili </w:t>
      </w:r>
      <w:r w:rsidRPr="0086255B">
        <w:rPr>
          <w:rFonts w:asciiTheme="minorHAnsi" w:hAnsiTheme="minorHAnsi" w:cstheme="minorHAnsi"/>
          <w:i/>
          <w:noProof/>
          <w:sz w:val="22"/>
        </w:rPr>
        <w:t>de minimis</w:t>
      </w:r>
      <w:r w:rsidRPr="0086255B">
        <w:rPr>
          <w:rFonts w:asciiTheme="minorHAnsi" w:hAnsiTheme="minorHAnsi" w:cstheme="minorHAnsi"/>
          <w:noProof/>
          <w:sz w:val="22"/>
        </w:rPr>
        <w:t xml:space="preserve"> pomoći, kao i način na koji će se pomoć kumulirati.</w:t>
      </w:r>
    </w:p>
    <w:p w14:paraId="181C4981"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103C87A6"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56 CEEAG-a, obrazložite kako ukupni iznos pomoći dodijeljen na osnovu prijavljenih mjera za projekt ili djelatnost ne dovodi do prekomjerne naknade ili ne prelazi maksimalni iznos pomoći dozvoljen u skladu sa tačkama od 408 do 410 CEEAG-a. Za svaku mjeru sa kojom se pomoć dodijeljena u okviru prijavljenih mjera pomoći može kumulirati navedite metodologiju koja je korišćenja kako bi se osigurala usklađenost sa uslovima utvrđenim u tački 56 CEEAG-a.</w:t>
      </w:r>
    </w:p>
    <w:p w14:paraId="7D2C9E1A"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33BA517E"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se primjenjuje tačka 57 CEEAG-a, tj. ako je pomoć dodijeljena u okviru prijavljenih mjera kombinovana sa finansijskim sredstvima</w:t>
      </w:r>
      <w:r w:rsidRPr="0086255B">
        <w:rPr>
          <w:rStyle w:val="FootnoteReference"/>
          <w:rFonts w:asciiTheme="minorHAnsi" w:hAnsiTheme="minorHAnsi" w:cstheme="minorHAnsi"/>
          <w:noProof/>
          <w:sz w:val="22"/>
          <w:lang w:eastAsia="en-GB"/>
        </w:rPr>
        <w:footnoteReference w:id="5"/>
      </w:r>
      <w:r w:rsidRPr="0086255B">
        <w:rPr>
          <w:rFonts w:asciiTheme="minorHAnsi" w:hAnsiTheme="minorHAnsi" w:cstheme="minorHAnsi"/>
          <w:noProof/>
          <w:sz w:val="22"/>
        </w:rPr>
        <w:t xml:space="preserve"> Unije kojima se centralizovano upravlja (koja ne predstavljaju državnu pomoć), obrazložite kako </w:t>
      </w:r>
      <w:r w:rsidRPr="0086255B">
        <w:rPr>
          <w:rFonts w:asciiTheme="minorHAnsi" w:hAnsiTheme="minorHAnsi" w:cstheme="minorHAnsi"/>
          <w:noProof/>
          <w:sz w:val="22"/>
          <w:shd w:val="clear" w:color="auto" w:fill="FFFFFF"/>
        </w:rPr>
        <w:t>ukupan iznos dodijeljenih javnih sredstava u odnosu na iste opravdane troškove ne dovodi do prekomjerne naknade.</w:t>
      </w:r>
    </w:p>
    <w:p w14:paraId="0DD526F8"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4544A38D" w14:textId="77777777" w:rsidR="0044429C" w:rsidRPr="0086255B" w:rsidRDefault="0044429C" w:rsidP="0044429C">
      <w:pPr>
        <w:pStyle w:val="Heading3"/>
        <w:keepLines w:val="0"/>
        <w:numPr>
          <w:ilvl w:val="2"/>
          <w:numId w:val="9"/>
        </w:numPr>
        <w:tabs>
          <w:tab w:val="clear" w:pos="850"/>
        </w:tabs>
        <w:spacing w:before="120" w:after="120"/>
        <w:ind w:left="360" w:hanging="360"/>
        <w:rPr>
          <w:rFonts w:asciiTheme="minorHAnsi" w:hAnsiTheme="minorHAnsi" w:cstheme="minorHAnsi"/>
          <w:i/>
          <w:noProof/>
          <w:color w:val="auto"/>
          <w:sz w:val="22"/>
          <w:szCs w:val="22"/>
        </w:rPr>
      </w:pPr>
      <w:r w:rsidRPr="0086255B">
        <w:rPr>
          <w:rFonts w:asciiTheme="minorHAnsi" w:hAnsiTheme="minorHAnsi" w:cstheme="minorHAnsi"/>
          <w:noProof/>
          <w:color w:val="auto"/>
          <w:sz w:val="22"/>
          <w:szCs w:val="22"/>
        </w:rPr>
        <w:t xml:space="preserve"> </w:t>
      </w:r>
      <w:r w:rsidRPr="0086255B">
        <w:rPr>
          <w:rFonts w:asciiTheme="minorHAnsi" w:hAnsiTheme="minorHAnsi" w:cstheme="minorHAnsi"/>
          <w:i/>
          <w:noProof/>
          <w:color w:val="auto"/>
          <w:sz w:val="22"/>
          <w:szCs w:val="22"/>
        </w:rPr>
        <w:t>Prelazna pravila</w:t>
      </w:r>
    </w:p>
    <w:p w14:paraId="75433F8C" w14:textId="77777777" w:rsidR="0044429C" w:rsidRPr="0086255B" w:rsidRDefault="0044429C" w:rsidP="0044429C">
      <w:pPr>
        <w:spacing w:before="120" w:after="120"/>
        <w:jc w:val="both"/>
        <w:rPr>
          <w:rFonts w:cstheme="minorHAnsi"/>
          <w:i/>
        </w:rPr>
      </w:pPr>
      <w:r w:rsidRPr="0086255B">
        <w:rPr>
          <w:rFonts w:cstheme="minorHAnsi"/>
          <w:i/>
        </w:rPr>
        <w:t xml:space="preserve">Za </w:t>
      </w:r>
      <w:proofErr w:type="spellStart"/>
      <w:r w:rsidRPr="0086255B">
        <w:rPr>
          <w:rFonts w:cstheme="minorHAnsi"/>
          <w:i/>
        </w:rPr>
        <w:t>unos</w:t>
      </w:r>
      <w:proofErr w:type="spellEnd"/>
      <w:r w:rsidRPr="0086255B">
        <w:rPr>
          <w:rFonts w:cstheme="minorHAnsi"/>
          <w:i/>
        </w:rPr>
        <w:t xml:space="preserve"> </w:t>
      </w:r>
      <w:proofErr w:type="spellStart"/>
      <w:r w:rsidRPr="0086255B">
        <w:rPr>
          <w:rFonts w:cstheme="minorHAnsi"/>
          <w:i/>
        </w:rPr>
        <w:t>podataka</w:t>
      </w:r>
      <w:proofErr w:type="spellEnd"/>
      <w:r w:rsidRPr="0086255B">
        <w:rPr>
          <w:rFonts w:cstheme="minorHAnsi"/>
          <w:i/>
        </w:rPr>
        <w:t xml:space="preserve"> u </w:t>
      </w:r>
      <w:proofErr w:type="spellStart"/>
      <w:r w:rsidRPr="0086255B">
        <w:rPr>
          <w:rFonts w:cstheme="minorHAnsi"/>
          <w:i/>
        </w:rPr>
        <w:t>ovom</w:t>
      </w:r>
      <w:proofErr w:type="spellEnd"/>
      <w:r w:rsidRPr="0086255B">
        <w:rPr>
          <w:rFonts w:cstheme="minorHAnsi"/>
          <w:i/>
        </w:rPr>
        <w:t xml:space="preserve"> </w:t>
      </w:r>
      <w:proofErr w:type="spellStart"/>
      <w:r w:rsidRPr="0086255B">
        <w:rPr>
          <w:rFonts w:cstheme="minorHAnsi"/>
          <w:i/>
        </w:rPr>
        <w:t>odjeljku</w:t>
      </w:r>
      <w:proofErr w:type="spellEnd"/>
      <w:r w:rsidRPr="0086255B">
        <w:rPr>
          <w:rFonts w:cstheme="minorHAnsi"/>
          <w:i/>
        </w:rPr>
        <w:t xml:space="preserve"> </w:t>
      </w:r>
      <w:proofErr w:type="spellStart"/>
      <w:r w:rsidRPr="0086255B">
        <w:rPr>
          <w:rFonts w:cstheme="minorHAnsi"/>
          <w:i/>
        </w:rPr>
        <w:t>vidjeti</w:t>
      </w:r>
      <w:proofErr w:type="spellEnd"/>
      <w:r w:rsidRPr="0086255B">
        <w:rPr>
          <w:rFonts w:cstheme="minorHAnsi"/>
          <w:i/>
        </w:rPr>
        <w:t xml:space="preserve"> </w:t>
      </w:r>
      <w:proofErr w:type="spellStart"/>
      <w:r w:rsidRPr="0086255B">
        <w:rPr>
          <w:rFonts w:cstheme="minorHAnsi"/>
          <w:i/>
        </w:rPr>
        <w:t>tačke</w:t>
      </w:r>
      <w:proofErr w:type="spellEnd"/>
      <w:r w:rsidRPr="0086255B">
        <w:rPr>
          <w:rFonts w:cstheme="minorHAnsi"/>
          <w:i/>
        </w:rPr>
        <w:t xml:space="preserve"> 4.11.3.5. CEEAG-a.</w:t>
      </w:r>
    </w:p>
    <w:p w14:paraId="2FE9CA35"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sz w:val="22"/>
        </w:rPr>
      </w:pPr>
      <w:proofErr w:type="spellStart"/>
      <w:r w:rsidRPr="0086255B">
        <w:rPr>
          <w:rFonts w:asciiTheme="minorHAnsi" w:hAnsiTheme="minorHAnsi" w:cstheme="minorHAnsi"/>
          <w:sz w:val="22"/>
        </w:rPr>
        <w:t>Navedite</w:t>
      </w:r>
      <w:proofErr w:type="spellEnd"/>
      <w:r w:rsidRPr="0086255B">
        <w:rPr>
          <w:rFonts w:asciiTheme="minorHAnsi" w:hAnsiTheme="minorHAnsi" w:cstheme="minorHAnsi"/>
          <w:sz w:val="22"/>
        </w:rPr>
        <w:t xml:space="preserve"> da li ova </w:t>
      </w:r>
      <w:proofErr w:type="spellStart"/>
      <w:r w:rsidRPr="0086255B">
        <w:rPr>
          <w:rFonts w:asciiTheme="minorHAnsi" w:hAnsiTheme="minorHAnsi" w:cstheme="minorHAnsi"/>
          <w:sz w:val="22"/>
        </w:rPr>
        <w:t>prijava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obuhvata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neprijavljenu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pomoć</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dodijeljenu</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obliku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smanjenih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nameta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električnu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energiju</w:t>
      </w:r>
      <w:proofErr w:type="spellEnd"/>
      <w:r w:rsidRPr="0086255B">
        <w:rPr>
          <w:rFonts w:asciiTheme="minorHAnsi" w:hAnsiTheme="minorHAnsi" w:cstheme="minorHAnsi"/>
          <w:sz w:val="22"/>
        </w:rPr>
        <w:t xml:space="preserve"> za </w:t>
      </w:r>
      <w:proofErr w:type="spellStart"/>
      <w:r w:rsidRPr="0086255B">
        <w:rPr>
          <w:rFonts w:asciiTheme="minorHAnsi" w:hAnsiTheme="minorHAnsi" w:cstheme="minorHAnsi"/>
          <w:sz w:val="22"/>
        </w:rPr>
        <w:t>velike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potrošače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energije</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periodu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prije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objavljivanja</w:t>
      </w:r>
      <w:proofErr w:type="spellEnd"/>
      <w:r w:rsidRPr="0086255B">
        <w:rPr>
          <w:rFonts w:asciiTheme="minorHAnsi" w:hAnsiTheme="minorHAnsi" w:cstheme="minorHAnsi"/>
          <w:sz w:val="22"/>
        </w:rPr>
        <w:t xml:space="preserve"> CEEAG-a. </w:t>
      </w:r>
      <w:proofErr w:type="spellStart"/>
      <w:r w:rsidRPr="0086255B">
        <w:rPr>
          <w:rFonts w:asciiTheme="minorHAnsi" w:hAnsiTheme="minorHAnsi" w:cstheme="minorHAnsi"/>
          <w:sz w:val="22"/>
        </w:rPr>
        <w:t>Ako</w:t>
      </w:r>
      <w:proofErr w:type="spellEnd"/>
      <w:r w:rsidRPr="0086255B">
        <w:rPr>
          <w:rFonts w:asciiTheme="minorHAnsi" w:hAnsiTheme="minorHAnsi" w:cstheme="minorHAnsi"/>
          <w:sz w:val="22"/>
        </w:rPr>
        <w:t xml:space="preserve"> je </w:t>
      </w:r>
      <w:proofErr w:type="spellStart"/>
      <w:r w:rsidRPr="0086255B">
        <w:rPr>
          <w:rFonts w:asciiTheme="minorHAnsi" w:hAnsiTheme="minorHAnsi" w:cstheme="minorHAnsi"/>
          <w:sz w:val="22"/>
        </w:rPr>
        <w:t>odgovor</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potvrdan</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objasnite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koji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način</w:t>
      </w:r>
      <w:proofErr w:type="spellEnd"/>
      <w:r w:rsidRPr="0086255B">
        <w:rPr>
          <w:rFonts w:asciiTheme="minorHAnsi" w:hAnsiTheme="minorHAnsi" w:cstheme="minorHAnsi"/>
          <w:sz w:val="22"/>
        </w:rPr>
        <w:t xml:space="preserve"> je </w:t>
      </w:r>
      <w:proofErr w:type="spellStart"/>
      <w:r w:rsidRPr="0086255B">
        <w:rPr>
          <w:rFonts w:asciiTheme="minorHAnsi" w:hAnsiTheme="minorHAnsi" w:cstheme="minorHAnsi"/>
          <w:sz w:val="22"/>
        </w:rPr>
        <w:t>neprijavljena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pomoć</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skladu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tačkom</w:t>
      </w:r>
      <w:proofErr w:type="spellEnd"/>
      <w:r w:rsidRPr="0086255B">
        <w:rPr>
          <w:rFonts w:asciiTheme="minorHAnsi" w:hAnsiTheme="minorHAnsi" w:cstheme="minorHAnsi"/>
          <w:sz w:val="22"/>
        </w:rPr>
        <w:t xml:space="preserve"> 419 CEEAG-a, </w:t>
      </w:r>
      <w:proofErr w:type="spellStart"/>
      <w:r w:rsidRPr="0086255B">
        <w:rPr>
          <w:rFonts w:asciiTheme="minorHAnsi" w:hAnsiTheme="minorHAnsi" w:cstheme="minorHAnsi"/>
          <w:sz w:val="22"/>
        </w:rPr>
        <w:t>podtačke</w:t>
      </w:r>
      <w:proofErr w:type="spellEnd"/>
      <w:r w:rsidRPr="0086255B">
        <w:rPr>
          <w:rFonts w:asciiTheme="minorHAnsi" w:hAnsiTheme="minorHAnsi" w:cstheme="minorHAnsi"/>
          <w:sz w:val="22"/>
        </w:rPr>
        <w:t xml:space="preserve"> (a) i (b) CEEAG-a.</w:t>
      </w:r>
    </w:p>
    <w:p w14:paraId="36FF1FE8"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7477DA26"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sz w:val="22"/>
        </w:rPr>
      </w:pPr>
      <w:proofErr w:type="spellStart"/>
      <w:r w:rsidRPr="0086255B">
        <w:rPr>
          <w:rFonts w:asciiTheme="minorHAnsi" w:hAnsiTheme="minorHAnsi" w:cstheme="minorHAnsi"/>
          <w:sz w:val="22"/>
        </w:rPr>
        <w:t>Navedite</w:t>
      </w:r>
      <w:proofErr w:type="spellEnd"/>
      <w:r w:rsidRPr="0086255B">
        <w:rPr>
          <w:rFonts w:asciiTheme="minorHAnsi" w:hAnsiTheme="minorHAnsi" w:cstheme="minorHAnsi"/>
          <w:sz w:val="22"/>
        </w:rPr>
        <w:t xml:space="preserve"> da li </w:t>
      </w:r>
      <w:proofErr w:type="spellStart"/>
      <w:r w:rsidRPr="0086255B">
        <w:rPr>
          <w:rFonts w:asciiTheme="minorHAnsi" w:hAnsiTheme="minorHAnsi" w:cstheme="minorHAnsi"/>
          <w:sz w:val="22"/>
        </w:rPr>
        <w:t>prijavljena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mjera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uspostavlja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prelazni</w:t>
      </w:r>
      <w:proofErr w:type="spellEnd"/>
      <w:r w:rsidRPr="0086255B">
        <w:rPr>
          <w:rFonts w:asciiTheme="minorHAnsi" w:hAnsiTheme="minorHAnsi" w:cstheme="minorHAnsi"/>
          <w:sz w:val="22"/>
        </w:rPr>
        <w:t xml:space="preserve"> plan </w:t>
      </w:r>
      <w:proofErr w:type="spellStart"/>
      <w:r w:rsidRPr="0086255B">
        <w:rPr>
          <w:rFonts w:asciiTheme="minorHAnsi" w:hAnsiTheme="minorHAnsi" w:cstheme="minorHAnsi"/>
          <w:sz w:val="22"/>
        </w:rPr>
        <w:t>kako</w:t>
      </w:r>
      <w:proofErr w:type="spellEnd"/>
      <w:r w:rsidRPr="0086255B">
        <w:rPr>
          <w:rFonts w:asciiTheme="minorHAnsi" w:hAnsiTheme="minorHAnsi" w:cstheme="minorHAnsi"/>
          <w:sz w:val="22"/>
        </w:rPr>
        <w:t xml:space="preserve"> bi se </w:t>
      </w:r>
      <w:proofErr w:type="spellStart"/>
      <w:r w:rsidRPr="0086255B">
        <w:rPr>
          <w:rFonts w:asciiTheme="minorHAnsi" w:hAnsiTheme="minorHAnsi" w:cstheme="minorHAnsi"/>
          <w:sz w:val="22"/>
        </w:rPr>
        <w:t>izbjegle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nepovoljne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promjene</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opterećenju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nameta</w:t>
      </w:r>
      <w:proofErr w:type="spellEnd"/>
      <w:r w:rsidRPr="0086255B">
        <w:rPr>
          <w:rFonts w:asciiTheme="minorHAnsi" w:hAnsiTheme="minorHAnsi" w:cstheme="minorHAnsi"/>
          <w:sz w:val="22"/>
        </w:rPr>
        <w:t xml:space="preserve"> za </w:t>
      </w:r>
      <w:proofErr w:type="spellStart"/>
      <w:r w:rsidRPr="0086255B">
        <w:rPr>
          <w:rFonts w:asciiTheme="minorHAnsi" w:hAnsiTheme="minorHAnsi" w:cstheme="minorHAnsi"/>
          <w:sz w:val="22"/>
        </w:rPr>
        <w:t>pojedinačna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privredna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društva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koja</w:t>
      </w:r>
      <w:proofErr w:type="spellEnd"/>
      <w:r w:rsidRPr="0086255B">
        <w:rPr>
          <w:rFonts w:asciiTheme="minorHAnsi" w:hAnsiTheme="minorHAnsi" w:cstheme="minorHAnsi"/>
          <w:sz w:val="22"/>
        </w:rPr>
        <w:t xml:space="preserve"> ne </w:t>
      </w:r>
      <w:proofErr w:type="spellStart"/>
      <w:r w:rsidRPr="0086255B">
        <w:rPr>
          <w:rFonts w:asciiTheme="minorHAnsi" w:hAnsiTheme="minorHAnsi" w:cstheme="minorHAnsi"/>
          <w:sz w:val="22"/>
        </w:rPr>
        <w:t>ispunjavaju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uslove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prihvatljivosti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navedene</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odjeljku</w:t>
      </w:r>
      <w:proofErr w:type="spellEnd"/>
      <w:r w:rsidRPr="0086255B">
        <w:rPr>
          <w:rFonts w:asciiTheme="minorHAnsi" w:hAnsiTheme="minorHAnsi" w:cstheme="minorHAnsi"/>
          <w:sz w:val="22"/>
        </w:rPr>
        <w:t xml:space="preserve"> 4.11 CEEAG-a. </w:t>
      </w:r>
      <w:proofErr w:type="spellStart"/>
      <w:r w:rsidRPr="0086255B">
        <w:rPr>
          <w:rFonts w:asciiTheme="minorHAnsi" w:hAnsiTheme="minorHAnsi" w:cstheme="minorHAnsi"/>
          <w:sz w:val="22"/>
        </w:rPr>
        <w:t>Ako</w:t>
      </w:r>
      <w:proofErr w:type="spellEnd"/>
      <w:r w:rsidRPr="0086255B">
        <w:rPr>
          <w:rFonts w:asciiTheme="minorHAnsi" w:hAnsiTheme="minorHAnsi" w:cstheme="minorHAnsi"/>
          <w:sz w:val="22"/>
        </w:rPr>
        <w:t xml:space="preserve"> je </w:t>
      </w:r>
      <w:proofErr w:type="spellStart"/>
      <w:r w:rsidRPr="0086255B">
        <w:rPr>
          <w:rFonts w:asciiTheme="minorHAnsi" w:hAnsiTheme="minorHAnsi" w:cstheme="minorHAnsi"/>
          <w:sz w:val="22"/>
        </w:rPr>
        <w:t>odgovor</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potvrdan</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odgovorite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sljedeća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pitanja</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ovom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odjeljku</w:t>
      </w:r>
      <w:proofErr w:type="spellEnd"/>
      <w:r w:rsidRPr="0086255B">
        <w:rPr>
          <w:rFonts w:asciiTheme="minorHAnsi" w:hAnsiTheme="minorHAnsi" w:cstheme="minorHAnsi"/>
          <w:sz w:val="22"/>
        </w:rPr>
        <w:t>.</w:t>
      </w:r>
    </w:p>
    <w:p w14:paraId="34F8DFF6" w14:textId="77777777" w:rsidR="0044429C" w:rsidRPr="0086255B" w:rsidRDefault="0044429C" w:rsidP="0044429C">
      <w:pPr>
        <w:spacing w:before="120" w:after="120"/>
        <w:jc w:val="both"/>
        <w:rPr>
          <w:rFonts w:cstheme="minorHAnsi"/>
        </w:rPr>
      </w:pPr>
      <w:r w:rsidRPr="0086255B">
        <w:rPr>
          <w:rFonts w:cstheme="minorHAnsi"/>
        </w:rPr>
        <w:t>..................................................................................................................................................................</w:t>
      </w:r>
    </w:p>
    <w:p w14:paraId="4AB4B975"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sz w:val="22"/>
        </w:rPr>
      </w:pPr>
      <w:r w:rsidRPr="0086255B">
        <w:rPr>
          <w:rFonts w:asciiTheme="minorHAnsi" w:hAnsiTheme="minorHAnsi" w:cstheme="minorHAnsi"/>
          <w:sz w:val="22"/>
        </w:rPr>
        <w:lastRenderedPageBreak/>
        <w:t xml:space="preserve">U </w:t>
      </w:r>
      <w:proofErr w:type="spellStart"/>
      <w:r w:rsidRPr="0086255B">
        <w:rPr>
          <w:rFonts w:asciiTheme="minorHAnsi" w:hAnsiTheme="minorHAnsi" w:cstheme="minorHAnsi"/>
          <w:sz w:val="22"/>
        </w:rPr>
        <w:t>skladu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tačkom</w:t>
      </w:r>
      <w:proofErr w:type="spellEnd"/>
      <w:r w:rsidRPr="0086255B">
        <w:rPr>
          <w:rFonts w:asciiTheme="minorHAnsi" w:hAnsiTheme="minorHAnsi" w:cstheme="minorHAnsi"/>
          <w:sz w:val="22"/>
        </w:rPr>
        <w:t xml:space="preserve"> 416 CEEAG-a, </w:t>
      </w:r>
      <w:proofErr w:type="spellStart"/>
      <w:r w:rsidRPr="0086255B">
        <w:rPr>
          <w:rFonts w:asciiTheme="minorHAnsi" w:hAnsiTheme="minorHAnsi" w:cstheme="minorHAnsi"/>
          <w:sz w:val="22"/>
        </w:rPr>
        <w:t>objasnite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koji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način</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će</w:t>
      </w:r>
      <w:proofErr w:type="spellEnd"/>
      <w:r w:rsidRPr="0086255B">
        <w:rPr>
          <w:rFonts w:asciiTheme="minorHAnsi" w:hAnsiTheme="minorHAnsi" w:cstheme="minorHAnsi"/>
          <w:sz w:val="22"/>
        </w:rPr>
        <w:t xml:space="preserve"> se </w:t>
      </w:r>
      <w:proofErr w:type="spellStart"/>
      <w:r w:rsidRPr="0086255B">
        <w:rPr>
          <w:rFonts w:asciiTheme="minorHAnsi" w:hAnsiTheme="minorHAnsi" w:cstheme="minorHAnsi"/>
          <w:sz w:val="22"/>
        </w:rPr>
        <w:t>prihvatljivost</w:t>
      </w:r>
      <w:proofErr w:type="spellEnd"/>
      <w:r w:rsidRPr="0086255B">
        <w:rPr>
          <w:rFonts w:asciiTheme="minorHAnsi" w:hAnsiTheme="minorHAnsi" w:cstheme="minorHAnsi"/>
          <w:sz w:val="22"/>
        </w:rPr>
        <w:t xml:space="preserve"> za </w:t>
      </w:r>
      <w:proofErr w:type="spellStart"/>
      <w:r w:rsidRPr="0086255B">
        <w:rPr>
          <w:rFonts w:asciiTheme="minorHAnsi" w:hAnsiTheme="minorHAnsi" w:cstheme="minorHAnsi"/>
          <w:sz w:val="22"/>
        </w:rPr>
        <w:t>prelazni</w:t>
      </w:r>
      <w:proofErr w:type="spellEnd"/>
      <w:r w:rsidRPr="0086255B">
        <w:rPr>
          <w:rFonts w:asciiTheme="minorHAnsi" w:hAnsiTheme="minorHAnsi" w:cstheme="minorHAnsi"/>
          <w:sz w:val="22"/>
        </w:rPr>
        <w:t xml:space="preserve"> plan </w:t>
      </w:r>
      <w:proofErr w:type="spellStart"/>
      <w:r w:rsidRPr="0086255B">
        <w:rPr>
          <w:rFonts w:asciiTheme="minorHAnsi" w:hAnsiTheme="minorHAnsi" w:cstheme="minorHAnsi"/>
          <w:sz w:val="22"/>
        </w:rPr>
        <w:t>ograničiti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privredna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društva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koja</w:t>
      </w:r>
      <w:proofErr w:type="spellEnd"/>
      <w:r w:rsidRPr="0086255B">
        <w:rPr>
          <w:rFonts w:asciiTheme="minorHAnsi" w:hAnsiTheme="minorHAnsi" w:cstheme="minorHAnsi"/>
          <w:sz w:val="22"/>
        </w:rPr>
        <w:t xml:space="preserve">: (i) </w:t>
      </w:r>
      <w:proofErr w:type="spellStart"/>
      <w:r w:rsidRPr="0086255B">
        <w:rPr>
          <w:rFonts w:asciiTheme="minorHAnsi" w:hAnsiTheme="minorHAnsi" w:cstheme="minorHAnsi"/>
          <w:sz w:val="22"/>
        </w:rPr>
        <w:t>ispunjavaju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kriterijume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prihvatljivosti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iz</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odjeljka</w:t>
      </w:r>
      <w:proofErr w:type="spellEnd"/>
      <w:r w:rsidRPr="0086255B">
        <w:rPr>
          <w:rFonts w:asciiTheme="minorHAnsi" w:hAnsiTheme="minorHAnsi" w:cstheme="minorHAnsi"/>
          <w:sz w:val="22"/>
        </w:rPr>
        <w:t xml:space="preserve"> 3.7.2. </w:t>
      </w:r>
      <w:proofErr w:type="spellStart"/>
      <w:r w:rsidRPr="0086255B">
        <w:rPr>
          <w:rFonts w:asciiTheme="minorHAnsi" w:hAnsiTheme="minorHAnsi" w:cstheme="minorHAnsi"/>
          <w:sz w:val="22"/>
        </w:rPr>
        <w:t>Smjernica</w:t>
      </w:r>
      <w:proofErr w:type="spellEnd"/>
      <w:r w:rsidRPr="0086255B">
        <w:rPr>
          <w:rFonts w:asciiTheme="minorHAnsi" w:hAnsiTheme="minorHAnsi" w:cstheme="minorHAnsi"/>
          <w:sz w:val="22"/>
        </w:rPr>
        <w:t xml:space="preserve"> o </w:t>
      </w:r>
      <w:proofErr w:type="spellStart"/>
      <w:r w:rsidRPr="0086255B">
        <w:rPr>
          <w:rFonts w:asciiTheme="minorHAnsi" w:hAnsiTheme="minorHAnsi" w:cstheme="minorHAnsi"/>
          <w:sz w:val="22"/>
        </w:rPr>
        <w:t>državnoj</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pomoći</w:t>
      </w:r>
      <w:proofErr w:type="spellEnd"/>
      <w:r w:rsidRPr="0086255B">
        <w:rPr>
          <w:rFonts w:asciiTheme="minorHAnsi" w:hAnsiTheme="minorHAnsi" w:cstheme="minorHAnsi"/>
          <w:sz w:val="22"/>
        </w:rPr>
        <w:t xml:space="preserve"> za </w:t>
      </w:r>
      <w:proofErr w:type="spellStart"/>
      <w:r w:rsidRPr="0086255B">
        <w:rPr>
          <w:rFonts w:asciiTheme="minorHAnsi" w:hAnsiTheme="minorHAnsi" w:cstheme="minorHAnsi"/>
          <w:sz w:val="22"/>
        </w:rPr>
        <w:t>zaštitu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životne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sredine</w:t>
      </w:r>
      <w:proofErr w:type="spellEnd"/>
      <w:r w:rsidRPr="0086255B">
        <w:rPr>
          <w:rFonts w:asciiTheme="minorHAnsi" w:hAnsiTheme="minorHAnsi" w:cstheme="minorHAnsi"/>
          <w:sz w:val="22"/>
        </w:rPr>
        <w:t xml:space="preserve"> i </w:t>
      </w:r>
      <w:proofErr w:type="spellStart"/>
      <w:r w:rsidRPr="0086255B">
        <w:rPr>
          <w:rFonts w:asciiTheme="minorHAnsi" w:hAnsiTheme="minorHAnsi" w:cstheme="minorHAnsi"/>
          <w:sz w:val="22"/>
        </w:rPr>
        <w:t>energiju</w:t>
      </w:r>
      <w:proofErr w:type="spellEnd"/>
      <w:r w:rsidRPr="0086255B">
        <w:rPr>
          <w:rFonts w:asciiTheme="minorHAnsi" w:hAnsiTheme="minorHAnsi" w:cstheme="minorHAnsi"/>
          <w:sz w:val="22"/>
        </w:rPr>
        <w:t xml:space="preserve"> 2014-2020, i (ii) </w:t>
      </w:r>
      <w:proofErr w:type="spellStart"/>
      <w:r w:rsidRPr="0086255B">
        <w:rPr>
          <w:rFonts w:asciiTheme="minorHAnsi" w:hAnsiTheme="minorHAnsi" w:cstheme="minorHAnsi"/>
          <w:sz w:val="22"/>
        </w:rPr>
        <w:t>su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primila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pomoć</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obliku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smanjenih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nameta</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najmanje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jednoj</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od</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dvije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godine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prije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izmjene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postojećih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šema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pomoći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kako</w:t>
      </w:r>
      <w:proofErr w:type="spellEnd"/>
      <w:r w:rsidRPr="0086255B">
        <w:rPr>
          <w:rFonts w:asciiTheme="minorHAnsi" w:hAnsiTheme="minorHAnsi" w:cstheme="minorHAnsi"/>
          <w:sz w:val="22"/>
        </w:rPr>
        <w:t xml:space="preserve"> bi </w:t>
      </w:r>
      <w:proofErr w:type="spellStart"/>
      <w:r w:rsidRPr="0086255B">
        <w:rPr>
          <w:rFonts w:asciiTheme="minorHAnsi" w:hAnsiTheme="minorHAnsi" w:cstheme="minorHAnsi"/>
          <w:sz w:val="22"/>
        </w:rPr>
        <w:t>ih</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uskladili</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sa</w:t>
      </w:r>
      <w:proofErr w:type="spellEnd"/>
      <w:r w:rsidRPr="0086255B">
        <w:rPr>
          <w:rFonts w:asciiTheme="minorHAnsi" w:hAnsiTheme="minorHAnsi" w:cstheme="minorHAnsi"/>
          <w:sz w:val="22"/>
        </w:rPr>
        <w:t xml:space="preserve"> CEEAG-</w:t>
      </w:r>
      <w:proofErr w:type="spellStart"/>
      <w:r w:rsidRPr="0086255B">
        <w:rPr>
          <w:rFonts w:asciiTheme="minorHAnsi" w:hAnsiTheme="minorHAnsi" w:cstheme="minorHAnsi"/>
          <w:sz w:val="22"/>
        </w:rPr>
        <w:t>om.</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Navedite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gdje</w:t>
      </w:r>
      <w:proofErr w:type="spellEnd"/>
      <w:r w:rsidRPr="0086255B">
        <w:rPr>
          <w:rFonts w:asciiTheme="minorHAnsi" w:hAnsiTheme="minorHAnsi" w:cstheme="minorHAnsi"/>
          <w:sz w:val="22"/>
        </w:rPr>
        <w:t xml:space="preserve"> se </w:t>
      </w:r>
      <w:proofErr w:type="spellStart"/>
      <w:r w:rsidRPr="0086255B">
        <w:rPr>
          <w:rFonts w:asciiTheme="minorHAnsi" w:hAnsiTheme="minorHAnsi" w:cstheme="minorHAnsi"/>
          <w:sz w:val="22"/>
        </w:rPr>
        <w:t>ove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informacije</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mogu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pronaći</w:t>
      </w:r>
      <w:proofErr w:type="spellEnd"/>
      <w:r w:rsidRPr="0086255B">
        <w:rPr>
          <w:rFonts w:asciiTheme="minorHAnsi" w:hAnsiTheme="minorHAnsi" w:cstheme="minorHAnsi"/>
          <w:sz w:val="22"/>
        </w:rPr>
        <w:t xml:space="preserve"> u (</w:t>
      </w:r>
      <w:proofErr w:type="spellStart"/>
      <w:r w:rsidRPr="0086255B">
        <w:rPr>
          <w:rFonts w:asciiTheme="minorHAnsi" w:hAnsiTheme="minorHAnsi" w:cstheme="minorHAnsi"/>
          <w:sz w:val="22"/>
        </w:rPr>
        <w:t>nacrtu</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pravnog</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osnova</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npr</w:t>
      </w:r>
      <w:proofErr w:type="spellEnd"/>
      <w:r w:rsidRPr="0086255B">
        <w:rPr>
          <w:rFonts w:asciiTheme="minorHAnsi" w:hAnsiTheme="minorHAnsi" w:cstheme="minorHAnsi"/>
          <w:sz w:val="22"/>
        </w:rPr>
        <w:t xml:space="preserve">. </w:t>
      </w:r>
      <w:proofErr w:type="spellStart"/>
      <w:r w:rsidRPr="0086255B">
        <w:rPr>
          <w:rFonts w:asciiTheme="minorHAnsi" w:hAnsiTheme="minorHAnsi" w:cstheme="minorHAnsi"/>
          <w:sz w:val="22"/>
        </w:rPr>
        <w:t>član</w:t>
      </w:r>
      <w:proofErr w:type="spellEnd"/>
      <w:r w:rsidRPr="0086255B">
        <w:rPr>
          <w:rFonts w:asciiTheme="minorHAnsi" w:hAnsiTheme="minorHAnsi" w:cstheme="minorHAnsi"/>
          <w:sz w:val="22"/>
        </w:rPr>
        <w:t xml:space="preserve"> 7 </w:t>
      </w:r>
      <w:proofErr w:type="spellStart"/>
      <w:r w:rsidRPr="0086255B">
        <w:rPr>
          <w:rFonts w:asciiTheme="minorHAnsi" w:hAnsiTheme="minorHAnsi" w:cstheme="minorHAnsi"/>
          <w:sz w:val="22"/>
        </w:rPr>
        <w:t>stav</w:t>
      </w:r>
      <w:proofErr w:type="spellEnd"/>
      <w:r w:rsidRPr="0086255B">
        <w:rPr>
          <w:rFonts w:asciiTheme="minorHAnsi" w:hAnsiTheme="minorHAnsi" w:cstheme="minorHAnsi"/>
          <w:sz w:val="22"/>
        </w:rPr>
        <w:t xml:space="preserve"> 3)</w:t>
      </w:r>
    </w:p>
    <w:p w14:paraId="123B9639"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12FEBE95"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Opišite na koji način će prelazni plan obezbijediti postepeno i potpuno prilagođavanje uslovima koji proizlaze iz primjene kriterijuma prihvatljivosti i proporcionalnosti iz odjeljka 4.11. CEEAG-a, a posebno na koji način će se intenzitet pomoći smanjivati vremenom i na koji način će se gornja granica bruto dodate vrijednosti (BDV) povećavati vremenom u skladu sa rasporedom navedenim u tački 417 CEEAG-a. Navedite konkretna upućivanja gdje se te informacije mogu pronaći u (nacrtu) pravnog osnova (npr. član 7 stav 3).</w:t>
      </w:r>
    </w:p>
    <w:p w14:paraId="51E2249B"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6BA33D46"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Navedite da li će se prelaznim planom izuzetno dopustiti fiksni intenziteti pomoći tokom čitavog prelaznog perioda, pod uslovom da predmetna privredna društva smanje ugljenični otisak svoje potrošnje električne energije u skladu sa uslovima iz tačke 418 CEEAG-a (tj. najmanje 50 % potrošnje električne energije iz izvora bez emisija ugljenika, od čega najmanje 10 % iz terminskog instrumenta kao što je ugovor o kupovini električne energije (PPA) ili najmanje 5 % iz proizvodnje na lokaciji ili u njenoj neposrednoj blizini). Ako je odgovor potvrdan, navedite gdje se te informacije mogu pronaći u (nacrtu) pravnog osnova (npr. član 7 stav 3) i objasnite na koji način nacionalni organi obezbjeđuju i prate usklađenost sa tačkom 418 CEEAG-a.</w:t>
      </w:r>
    </w:p>
    <w:p w14:paraId="7072A701"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797DC5E0" w14:textId="77777777" w:rsidR="0044429C" w:rsidRPr="0086255B" w:rsidRDefault="0044429C" w:rsidP="0044429C">
      <w:pPr>
        <w:pStyle w:val="Heading2"/>
        <w:keepLines w:val="0"/>
        <w:numPr>
          <w:ilvl w:val="1"/>
          <w:numId w:val="9"/>
        </w:numPr>
        <w:tabs>
          <w:tab w:val="clear" w:pos="850"/>
        </w:tabs>
        <w:spacing w:before="120" w:after="120"/>
        <w:ind w:left="360" w:hanging="360"/>
        <w:rPr>
          <w:rFonts w:asciiTheme="minorHAnsi" w:hAnsiTheme="minorHAnsi" w:cstheme="minorHAnsi"/>
          <w:i/>
          <w:color w:val="auto"/>
          <w:sz w:val="22"/>
          <w:szCs w:val="22"/>
        </w:rPr>
      </w:pPr>
      <w:r w:rsidRPr="0086255B">
        <w:rPr>
          <w:rFonts w:asciiTheme="minorHAnsi" w:hAnsiTheme="minorHAnsi" w:cstheme="minorHAnsi"/>
          <w:i/>
          <w:color w:val="auto"/>
          <w:sz w:val="22"/>
          <w:szCs w:val="22"/>
        </w:rPr>
        <w:t>Transparentnost</w:t>
      </w:r>
    </w:p>
    <w:p w14:paraId="691D0D98" w14:textId="77777777" w:rsidR="0044429C" w:rsidRPr="0086255B" w:rsidRDefault="0044429C" w:rsidP="0044429C">
      <w:pPr>
        <w:spacing w:before="120" w:after="120"/>
        <w:jc w:val="both"/>
        <w:rPr>
          <w:rFonts w:cstheme="minorHAnsi"/>
          <w:i/>
          <w:noProof/>
        </w:rPr>
      </w:pPr>
      <w:r w:rsidRPr="0086255B">
        <w:rPr>
          <w:rFonts w:cstheme="minorHAnsi"/>
          <w:i/>
          <w:noProof/>
        </w:rPr>
        <w:t xml:space="preserve">Za unos podataka u ovom odjeljku vidjeti odjeljak 3.2.1.4. (tačke od 58 do 62) CEEAG-a. </w:t>
      </w:r>
    </w:p>
    <w:p w14:paraId="1A9F7DBA" w14:textId="77777777" w:rsidR="0044429C" w:rsidRPr="0086255B" w:rsidRDefault="0044429C" w:rsidP="0044429C">
      <w:pPr>
        <w:pStyle w:val="NumPar1"/>
        <w:numPr>
          <w:ilvl w:val="0"/>
          <w:numId w:val="7"/>
        </w:numPr>
        <w:tabs>
          <w:tab w:val="clear" w:pos="850"/>
        </w:tabs>
        <w:ind w:left="360" w:hanging="360"/>
        <w:rPr>
          <w:rFonts w:asciiTheme="minorHAnsi" w:eastAsia="Times New Roman" w:hAnsiTheme="minorHAnsi" w:cstheme="minorHAnsi"/>
          <w:noProof/>
          <w:sz w:val="22"/>
        </w:rPr>
      </w:pPr>
      <w:r w:rsidRPr="0086255B">
        <w:rPr>
          <w:rFonts w:asciiTheme="minorHAnsi" w:hAnsiTheme="minorHAnsi" w:cstheme="minorHAnsi"/>
          <w:noProof/>
          <w:sz w:val="22"/>
        </w:rPr>
        <w:t xml:space="preserve">Potvrdite da će država članica ispuniti zahtjeve u vezi sa transparentnošću iz tačaka od 58 do 61 CEEAG-a. </w:t>
      </w:r>
    </w:p>
    <w:p w14:paraId="73A7058F"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698D399B"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provjerila usklađenost sa tačkom 61 CEEAG-a, potvrdite da će informacije navedene u tački 58 podtačka (b) biti dostupne najmanje 10 godina od datuma dodjele pomoći kako bi se omogućilo sprovođenje pravila o državnoj pomoći u skladu sa Ugovorom.</w:t>
      </w:r>
    </w:p>
    <w:p w14:paraId="69E7D67C"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7E1C3174" w14:textId="77777777" w:rsidR="0044429C" w:rsidRPr="0086255B" w:rsidRDefault="0044429C" w:rsidP="0044429C">
      <w:pPr>
        <w:pStyle w:val="Heading2"/>
        <w:keepLines w:val="0"/>
        <w:numPr>
          <w:ilvl w:val="1"/>
          <w:numId w:val="9"/>
        </w:numPr>
        <w:tabs>
          <w:tab w:val="clear" w:pos="850"/>
        </w:tabs>
        <w:spacing w:before="120" w:after="120"/>
        <w:ind w:left="360" w:hanging="360"/>
        <w:rPr>
          <w:rFonts w:asciiTheme="minorHAnsi" w:hAnsiTheme="minorHAnsi" w:cstheme="minorHAnsi"/>
          <w:noProof/>
          <w:color w:val="auto"/>
          <w:sz w:val="22"/>
          <w:szCs w:val="22"/>
        </w:rPr>
      </w:pPr>
      <w:r w:rsidRPr="0086255B">
        <w:rPr>
          <w:rFonts w:asciiTheme="minorHAnsi" w:hAnsiTheme="minorHAnsi" w:cstheme="minorHAnsi"/>
          <w:noProof/>
          <w:color w:val="auto"/>
          <w:sz w:val="22"/>
          <w:szCs w:val="22"/>
        </w:rPr>
        <w:t xml:space="preserve"> Izbjegavanje nepotrebnih negativnih efekata na konkurenciju i trgovinu i balansiranje</w:t>
      </w:r>
    </w:p>
    <w:p w14:paraId="1AA22A40" w14:textId="77777777" w:rsidR="0044429C" w:rsidRPr="0086255B" w:rsidRDefault="0044429C" w:rsidP="0044429C">
      <w:pPr>
        <w:spacing w:before="120" w:after="120"/>
        <w:jc w:val="both"/>
        <w:rPr>
          <w:rFonts w:cstheme="minorHAnsi"/>
          <w:i/>
          <w:noProof/>
        </w:rPr>
      </w:pPr>
      <w:r w:rsidRPr="0086255B">
        <w:rPr>
          <w:rFonts w:cstheme="minorHAnsi"/>
          <w:i/>
          <w:noProof/>
        </w:rPr>
        <w:t xml:space="preserve">Za unos podataka u ovom odjeljku vidjeti odjeljak 3.2.2. CEEAG-a. </w:t>
      </w:r>
    </w:p>
    <w:p w14:paraId="5A3B9D82"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provjerila usklađenost sa tačkom 70 CEEAG-a:</w:t>
      </w:r>
    </w:p>
    <w:p w14:paraId="3C167046" w14:textId="77777777" w:rsidR="0044429C" w:rsidRPr="0086255B" w:rsidRDefault="0044429C" w:rsidP="0044429C">
      <w:pPr>
        <w:pStyle w:val="Point1letter"/>
        <w:numPr>
          <w:ilvl w:val="3"/>
          <w:numId w:val="12"/>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šema traje najviše 10 godina od datuma donošenja odluke Komisije kojom se pomoć proglašava usklađenom;</w:t>
      </w:r>
    </w:p>
    <w:p w14:paraId="43DE046C"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375C78A7" w14:textId="77777777" w:rsidR="0044429C" w:rsidRPr="0086255B" w:rsidRDefault="0044429C" w:rsidP="0044429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ako država članica želi da produži trajanje šeme nakon isteka tog maksimalnog perioda od 10 godina, mora ponovno prijaviti tu mjeru/mjere.</w:t>
      </w:r>
    </w:p>
    <w:p w14:paraId="718D7B34"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lastRenderedPageBreak/>
        <w:tab/>
      </w:r>
    </w:p>
    <w:p w14:paraId="5BBC603E" w14:textId="77777777" w:rsidR="0044429C" w:rsidRPr="0086255B" w:rsidRDefault="0044429C" w:rsidP="0044429C">
      <w:pPr>
        <w:pStyle w:val="Heading1"/>
        <w:keepNext/>
        <w:numPr>
          <w:ilvl w:val="0"/>
          <w:numId w:val="9"/>
        </w:numPr>
        <w:tabs>
          <w:tab w:val="clear" w:pos="850"/>
        </w:tabs>
        <w:spacing w:before="120" w:after="120"/>
        <w:ind w:left="360" w:right="0" w:hanging="360"/>
        <w:jc w:val="both"/>
        <w:rPr>
          <w:rFonts w:asciiTheme="minorHAnsi" w:hAnsiTheme="minorHAnsi" w:cstheme="minorHAnsi"/>
          <w:noProof/>
          <w:sz w:val="22"/>
          <w:szCs w:val="22"/>
        </w:rPr>
      </w:pPr>
      <w:r w:rsidRPr="0086255B">
        <w:rPr>
          <w:rFonts w:asciiTheme="minorHAnsi" w:hAnsiTheme="minorHAnsi" w:cstheme="minorHAnsi"/>
          <w:noProof/>
          <w:sz w:val="22"/>
          <w:szCs w:val="22"/>
        </w:rPr>
        <w:t>Razmatranje pozitivnih efekata pomoći u odnosu na negativne efekte na konkurenciju i trgovinu</w:t>
      </w:r>
    </w:p>
    <w:p w14:paraId="64C50928" w14:textId="77777777" w:rsidR="0044429C" w:rsidRPr="0086255B" w:rsidRDefault="0044429C" w:rsidP="0044429C">
      <w:pPr>
        <w:spacing w:before="120" w:after="120"/>
        <w:jc w:val="both"/>
        <w:rPr>
          <w:rFonts w:cstheme="minorHAnsi"/>
          <w:i/>
          <w:noProof/>
        </w:rPr>
      </w:pPr>
      <w:r w:rsidRPr="0086255B">
        <w:rPr>
          <w:rFonts w:cstheme="minorHAnsi"/>
          <w:i/>
          <w:noProof/>
        </w:rPr>
        <w:t xml:space="preserve">Za unos podataka u ovom odjeljku vidjeti odjeljak 3.3. (tačke od 71 do 76) i tačke od 400 do 402 CEEAG-a. </w:t>
      </w:r>
    </w:p>
    <w:p w14:paraId="75FD2D2D"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U skladu sa tačkom 75 CEEAG-a objasnite da li prijavljene mjere sadrže karakteristike koje olakšavaju učešće MSP-ova. Ako je odgovor potvrdan, navedite podatke o tim karakteristikama i obrazložite na koji način pozitivni efekti obezbjeđivanja učešća i prihvaćanja MSP-ova u prijavljenim mjerama prevazilaze moguće negativne efekte po konkurenciju.</w:t>
      </w:r>
    </w:p>
    <w:p w14:paraId="0CBB1BE6" w14:textId="77777777" w:rsidR="0044429C" w:rsidRPr="0086255B" w:rsidRDefault="0044429C" w:rsidP="0044429C">
      <w:pPr>
        <w:spacing w:before="120" w:after="120"/>
        <w:jc w:val="both"/>
        <w:rPr>
          <w:rFonts w:cstheme="minorHAnsi"/>
        </w:rPr>
      </w:pPr>
      <w:r w:rsidRPr="0086255B">
        <w:rPr>
          <w:rFonts w:cstheme="minorHAnsi"/>
        </w:rPr>
        <w:t>.....................................................................................................................................................</w:t>
      </w:r>
    </w:p>
    <w:p w14:paraId="012A0679"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Kad je riječ o primjeni tačke 76 podtačke (c) CEEAG-a, navedite da li je mjera pomoći vremenski ograničena.</w:t>
      </w:r>
    </w:p>
    <w:p w14:paraId="4447011C" w14:textId="77777777" w:rsidR="0044429C" w:rsidRPr="0086255B" w:rsidRDefault="0044429C" w:rsidP="0044429C">
      <w:pPr>
        <w:spacing w:before="120" w:after="120"/>
        <w:jc w:val="both"/>
        <w:rPr>
          <w:rFonts w:cstheme="minorHAnsi"/>
        </w:rPr>
      </w:pPr>
      <w:r w:rsidRPr="0086255B">
        <w:rPr>
          <w:rFonts w:cstheme="minorHAnsi"/>
        </w:rPr>
        <w:t>.....................................................................................................................................................</w:t>
      </w:r>
    </w:p>
    <w:tbl>
      <w:tblPr>
        <w:tblStyle w:val="TableGrid"/>
        <w:tblW w:w="5000" w:type="pct"/>
        <w:shd w:val="clear" w:color="auto" w:fill="D9D9D9" w:themeFill="background1" w:themeFillShade="D9"/>
        <w:tblLook w:val="04A0" w:firstRow="1" w:lastRow="0" w:firstColumn="1" w:lastColumn="0" w:noHBand="0" w:noVBand="1"/>
      </w:tblPr>
      <w:tblGrid>
        <w:gridCol w:w="9350"/>
      </w:tblGrid>
      <w:tr w:rsidR="0044429C" w:rsidRPr="0086255B" w14:paraId="3F696AE1" w14:textId="77777777" w:rsidTr="00D507D9">
        <w:tc>
          <w:tcPr>
            <w:tcW w:w="5000" w:type="pct"/>
            <w:shd w:val="clear" w:color="auto" w:fill="D9D9D9" w:themeFill="background1" w:themeFillShade="D9"/>
          </w:tcPr>
          <w:p w14:paraId="73026F01" w14:textId="77777777" w:rsidR="0044429C" w:rsidRPr="0086255B" w:rsidRDefault="0044429C" w:rsidP="00D507D9">
            <w:pPr>
              <w:tabs>
                <w:tab w:val="left" w:leader="dot" w:pos="9072"/>
              </w:tabs>
              <w:spacing w:before="120" w:after="120"/>
              <w:jc w:val="both"/>
              <w:rPr>
                <w:rFonts w:asciiTheme="minorHAnsi" w:hAnsiTheme="minorHAnsi" w:cstheme="minorHAnsi"/>
                <w:b/>
                <w:noProof/>
                <w:sz w:val="22"/>
                <w:szCs w:val="22"/>
              </w:rPr>
            </w:pPr>
            <w:r w:rsidRPr="0086255B">
              <w:rPr>
                <w:rFonts w:asciiTheme="minorHAnsi" w:hAnsiTheme="minorHAnsi" w:cstheme="minorHAnsi"/>
                <w:b/>
                <w:noProof/>
                <w:sz w:val="22"/>
                <w:szCs w:val="22"/>
              </w:rPr>
              <w:t>Odjeljak C: Evaluacija</w:t>
            </w:r>
          </w:p>
        </w:tc>
      </w:tr>
    </w:tbl>
    <w:p w14:paraId="4A361AC5" w14:textId="77777777" w:rsidR="0044429C" w:rsidRPr="0086255B" w:rsidRDefault="0044429C" w:rsidP="0044429C">
      <w:pPr>
        <w:spacing w:before="120" w:after="120"/>
        <w:jc w:val="both"/>
        <w:rPr>
          <w:rFonts w:cstheme="minorHAnsi"/>
          <w:i/>
          <w:iCs/>
          <w:noProof/>
        </w:rPr>
      </w:pPr>
      <w:r w:rsidRPr="0086255B">
        <w:rPr>
          <w:rFonts w:cstheme="minorHAnsi"/>
          <w:i/>
          <w:noProof/>
        </w:rPr>
        <w:t>Za unos podataka u ovom odjeljku vidjeti tačku 76 podtačka (a) i odjeljak 5 (tačke od 455 do 463) CEEAG-a.</w:t>
      </w:r>
    </w:p>
    <w:p w14:paraId="18ADDA06"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prijavljene mjere premašuju pragove budžeta/troškova iz tačke 456 CEEAG-a, objasnite zašto smatrate da bi trebalo primjeniti izuzetak iz tačke 457 CEEAG-a ili priložite uz ovaj obrazac prijave prilog koji sadrži nacrt plana evaluacije koji obuhvata područje primjene navedeno u tački 458 CEEAG-a</w:t>
      </w:r>
      <w:r w:rsidRPr="0086255B">
        <w:rPr>
          <w:rStyle w:val="FootnoteReference"/>
          <w:rFonts w:asciiTheme="minorHAnsi" w:hAnsiTheme="minorHAnsi" w:cstheme="minorHAnsi"/>
          <w:noProof/>
          <w:sz w:val="22"/>
          <w:lang w:eastAsia="en-GB"/>
        </w:rPr>
        <w:footnoteReference w:id="6"/>
      </w:r>
      <w:r w:rsidRPr="0086255B">
        <w:rPr>
          <w:rFonts w:asciiTheme="minorHAnsi" w:hAnsiTheme="minorHAnsi" w:cstheme="minorHAnsi"/>
          <w:noProof/>
          <w:sz w:val="22"/>
        </w:rPr>
        <w:t>.</w:t>
      </w:r>
    </w:p>
    <w:p w14:paraId="6091E594"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582150F5"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Ako je priložen nacrt plana evaluacije:</w:t>
      </w:r>
    </w:p>
    <w:p w14:paraId="112B99F4" w14:textId="77777777" w:rsidR="0044429C" w:rsidRPr="0086255B" w:rsidRDefault="0044429C" w:rsidP="0044429C">
      <w:pPr>
        <w:pStyle w:val="Point1letter"/>
        <w:numPr>
          <w:ilvl w:val="3"/>
          <w:numId w:val="13"/>
        </w:numPr>
        <w:tabs>
          <w:tab w:val="clear" w:pos="1417"/>
        </w:tabs>
        <w:ind w:left="922" w:hanging="562"/>
        <w:rPr>
          <w:rFonts w:asciiTheme="minorHAnsi" w:hAnsiTheme="minorHAnsi" w:cstheme="minorHAnsi"/>
          <w:noProof/>
          <w:sz w:val="22"/>
        </w:rPr>
      </w:pPr>
      <w:r w:rsidRPr="0086255B">
        <w:rPr>
          <w:rFonts w:asciiTheme="minorHAnsi" w:hAnsiTheme="minorHAnsi" w:cstheme="minorHAnsi"/>
          <w:noProof/>
          <w:sz w:val="22"/>
        </w:rPr>
        <w:t>navedite rezime ovog nacrta plana evaluacije iz Priloga;</w:t>
      </w:r>
    </w:p>
    <w:p w14:paraId="50BDDC0A"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1EAF4087" w14:textId="77777777" w:rsidR="0044429C" w:rsidRPr="0086255B" w:rsidRDefault="0044429C" w:rsidP="0044429C">
      <w:pPr>
        <w:pStyle w:val="Point1lette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potvrdite da će se poštovati tačka 460 CEEAG-a;</w:t>
      </w:r>
    </w:p>
    <w:p w14:paraId="444B4D2A"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17DC2119" w14:textId="77777777" w:rsidR="0044429C" w:rsidRPr="0086255B" w:rsidRDefault="0044429C" w:rsidP="0044429C">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navedite datum i link na internet stranicu na kojoj će plan evaluacije biti javno dostupan.</w:t>
      </w:r>
    </w:p>
    <w:p w14:paraId="72EE7194"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40882F21"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provjerila usklađenost sa tačkom 459 podtačka (b) CEEAG-a, ako za šemu pomoći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a njeno trajanje prelazi tri godine, potvrdite da ćete dostaviti nacrt plana evaluacije u roku od 30 radnih dana nakon značajne izmjene kojom se budžet šeme povećava na više od 150 miliona EUR u bilo kojoj godini ili više od 750 miliona EUR tokom ukupnog trajanja šeme. </w:t>
      </w:r>
    </w:p>
    <w:p w14:paraId="4384E246"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5BE976BD"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provjerila usklađenost sa tačkom 459 podtačka (c) CEEAG-a, ako za šemu pomoći trenutno nije potrebna </w:t>
      </w:r>
      <w:r w:rsidRPr="0086255B">
        <w:rPr>
          <w:rFonts w:asciiTheme="minorHAnsi" w:hAnsiTheme="minorHAnsi" w:cstheme="minorHAnsi"/>
          <w:i/>
          <w:noProof/>
          <w:sz w:val="22"/>
        </w:rPr>
        <w:t>ex post</w:t>
      </w:r>
      <w:r w:rsidRPr="0086255B">
        <w:rPr>
          <w:rFonts w:asciiTheme="minorHAnsi" w:hAnsiTheme="minorHAnsi" w:cstheme="minorHAnsi"/>
          <w:noProof/>
          <w:sz w:val="22"/>
        </w:rPr>
        <w:t xml:space="preserve"> evaluacija, u nastavku potvrdite da se država članica obavezuje da dostavi nacrt </w:t>
      </w:r>
      <w:r w:rsidRPr="0086255B">
        <w:rPr>
          <w:rFonts w:asciiTheme="minorHAnsi" w:hAnsiTheme="minorHAnsi" w:cstheme="minorHAnsi"/>
          <w:noProof/>
          <w:sz w:val="22"/>
        </w:rPr>
        <w:lastRenderedPageBreak/>
        <w:t xml:space="preserve">plana evaluacije </w:t>
      </w:r>
      <w:r w:rsidRPr="0086255B">
        <w:rPr>
          <w:rFonts w:asciiTheme="minorHAnsi" w:hAnsiTheme="minorHAnsi" w:cstheme="minorHAnsi"/>
          <w:noProof/>
          <w:sz w:val="22"/>
          <w:shd w:val="clear" w:color="auto" w:fill="FFFFFF"/>
        </w:rPr>
        <w:t>u roku od 30 radnih dana nakon što se u zvaničnoj računovodstvenoj dokumentaciji proknjiže rashodi koji prelaze 150 miliona EUR u prethodnoj godinu.</w:t>
      </w:r>
      <w:r w:rsidRPr="0086255B">
        <w:rPr>
          <w:rFonts w:asciiTheme="minorHAnsi" w:hAnsiTheme="minorHAnsi" w:cstheme="minorHAnsi"/>
          <w:noProof/>
          <w:sz w:val="22"/>
        </w:rPr>
        <w:t xml:space="preserve"> </w:t>
      </w:r>
    </w:p>
    <w:p w14:paraId="267D0C4D"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264D9F12"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Kako bi se potvrdila usklađenost sa tačkom 461 CEEAG-a:</w:t>
      </w:r>
    </w:p>
    <w:p w14:paraId="0ADC38C1" w14:textId="77777777" w:rsidR="0044429C" w:rsidRPr="0086255B" w:rsidRDefault="0044429C" w:rsidP="0044429C">
      <w:pPr>
        <w:pStyle w:val="Point1letter"/>
        <w:numPr>
          <w:ilvl w:val="3"/>
          <w:numId w:val="14"/>
        </w:numPr>
        <w:tabs>
          <w:tab w:val="clear" w:pos="1417"/>
        </w:tabs>
        <w:ind w:left="720" w:hanging="360"/>
        <w:rPr>
          <w:rFonts w:asciiTheme="minorHAnsi" w:hAnsiTheme="minorHAnsi" w:cstheme="minorHAnsi"/>
          <w:noProof/>
          <w:sz w:val="22"/>
        </w:rPr>
      </w:pPr>
      <w:r w:rsidRPr="0086255B">
        <w:rPr>
          <w:rFonts w:asciiTheme="minorHAnsi" w:hAnsiTheme="minorHAnsi" w:cstheme="minorHAnsi"/>
          <w:noProof/>
          <w:sz w:val="22"/>
        </w:rPr>
        <w:t>navedite da li je nezavisni ekspert već odabran ili će biti odabran u budućnosti;</w:t>
      </w:r>
    </w:p>
    <w:p w14:paraId="3D79F4F8"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0AB7920F" w14:textId="77777777" w:rsidR="0044429C" w:rsidRPr="0086255B" w:rsidRDefault="0044429C" w:rsidP="0044429C">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unesite podatke o postupku odabira eksperta;</w:t>
      </w:r>
    </w:p>
    <w:p w14:paraId="3F6AF342"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05031275" w14:textId="77777777" w:rsidR="0044429C" w:rsidRPr="0086255B" w:rsidRDefault="0044429C" w:rsidP="0044429C">
      <w:pPr>
        <w:pStyle w:val="Point1letter"/>
        <w:ind w:left="720" w:hanging="360"/>
        <w:rPr>
          <w:rFonts w:asciiTheme="minorHAnsi" w:hAnsiTheme="minorHAnsi" w:cstheme="minorHAnsi"/>
          <w:noProof/>
          <w:sz w:val="22"/>
        </w:rPr>
      </w:pPr>
      <w:r w:rsidRPr="0086255B">
        <w:rPr>
          <w:rFonts w:asciiTheme="minorHAnsi" w:hAnsiTheme="minorHAnsi" w:cstheme="minorHAnsi"/>
          <w:noProof/>
          <w:sz w:val="22"/>
        </w:rPr>
        <w:t>obrazložite na koji je način ekspert nezavisan od nadležnog organa koji dodjeljuje pomoć.</w:t>
      </w:r>
    </w:p>
    <w:p w14:paraId="61E7C00F"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12BFEA13"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 xml:space="preserve">Kako bi se potvrdila usklađenost sa tačkom 461 CEEAG-a: </w:t>
      </w:r>
    </w:p>
    <w:p w14:paraId="6783A095" w14:textId="77777777" w:rsidR="0044429C" w:rsidRPr="0086255B" w:rsidRDefault="0044429C" w:rsidP="0044429C">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navedite predložene rokove za podnošenje privremenog i završnog izvještaja o evaluaciji. Napominjemo da se završni izvještaj o evaluaciji mora blagovremeno dostaviti Komisiji kako bi se omogućila procjena mogućeg produženja šeme pomoći, a najkasnije devet mjeseci prije isteka šeme, u skladu sa tačkom 463 CEEAG-a. Napominjemo i da bi se taj rok mogao skratiti za šeme kod kojih se zahtjev za evaluaciju aktivira u posljednje dvije godine njihove primjene;</w:t>
      </w:r>
    </w:p>
    <w:p w14:paraId="3FB4717C"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p w14:paraId="08727778" w14:textId="77777777" w:rsidR="0044429C" w:rsidRPr="0086255B" w:rsidRDefault="0044429C" w:rsidP="0044429C">
      <w:pPr>
        <w:pStyle w:val="Point2letter"/>
        <w:tabs>
          <w:tab w:val="clear" w:pos="1984"/>
        </w:tabs>
        <w:ind w:left="720" w:hanging="360"/>
        <w:rPr>
          <w:rFonts w:asciiTheme="minorHAnsi" w:hAnsiTheme="minorHAnsi" w:cstheme="minorHAnsi"/>
          <w:noProof/>
          <w:sz w:val="22"/>
        </w:rPr>
      </w:pPr>
      <w:r w:rsidRPr="0086255B">
        <w:rPr>
          <w:rFonts w:asciiTheme="minorHAnsi" w:hAnsiTheme="minorHAnsi" w:cstheme="minorHAnsi"/>
          <w:noProof/>
          <w:sz w:val="22"/>
        </w:rPr>
        <w:t>potvrdite da će privremeni i završni izvještaj o evaluaciji biti objavljen. Navedite datum i link na internet stranicu na kojoj će ovi izvještaji biti dostupni javnosti.</w:t>
      </w:r>
    </w:p>
    <w:p w14:paraId="2A5DECC5" w14:textId="77777777" w:rsidR="0044429C" w:rsidRPr="0086255B" w:rsidRDefault="0044429C" w:rsidP="0044429C">
      <w:pPr>
        <w:tabs>
          <w:tab w:val="left" w:leader="dot" w:pos="9072"/>
        </w:tabs>
        <w:spacing w:before="120" w:after="120"/>
        <w:jc w:val="both"/>
        <w:rPr>
          <w:rFonts w:cstheme="minorHAnsi"/>
          <w:noProof/>
        </w:rPr>
      </w:pPr>
      <w:r w:rsidRPr="0086255B">
        <w:rPr>
          <w:rFonts w:cstheme="minorHAnsi"/>
          <w:noProof/>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9062"/>
      </w:tblGrid>
      <w:tr w:rsidR="0044429C" w:rsidRPr="0086255B" w14:paraId="6EB58311" w14:textId="77777777" w:rsidTr="00D507D9">
        <w:tc>
          <w:tcPr>
            <w:tcW w:w="9062" w:type="dxa"/>
            <w:shd w:val="pct15" w:color="auto" w:fill="auto"/>
          </w:tcPr>
          <w:p w14:paraId="7051018D" w14:textId="77777777" w:rsidR="0044429C" w:rsidRPr="0086255B" w:rsidRDefault="0044429C" w:rsidP="00D507D9">
            <w:pPr>
              <w:spacing w:before="120" w:after="120"/>
              <w:jc w:val="both"/>
              <w:rPr>
                <w:rFonts w:cstheme="minorHAnsi"/>
                <w:b/>
                <w:iCs/>
                <w:noProof/>
                <w:lang w:eastAsia="hr-HR" w:bidi="hr-HR"/>
              </w:rPr>
            </w:pPr>
            <w:r w:rsidRPr="0086255B">
              <w:rPr>
                <w:rFonts w:cstheme="minorHAnsi"/>
                <w:b/>
                <w:noProof/>
                <w:lang w:eastAsia="hr-HR" w:bidi="hr-HR"/>
              </w:rPr>
              <w:t>Odjeljak D: Izvještavanje i praćenje</w:t>
            </w:r>
          </w:p>
        </w:tc>
      </w:tr>
    </w:tbl>
    <w:p w14:paraId="44722554" w14:textId="77777777" w:rsidR="0044429C" w:rsidRPr="0086255B" w:rsidRDefault="0044429C" w:rsidP="0044429C">
      <w:pPr>
        <w:spacing w:before="120" w:after="120"/>
        <w:jc w:val="both"/>
        <w:rPr>
          <w:rFonts w:cstheme="minorHAnsi"/>
          <w:i/>
          <w:iCs/>
          <w:noProof/>
        </w:rPr>
      </w:pPr>
      <w:r w:rsidRPr="0086255B">
        <w:rPr>
          <w:rFonts w:cstheme="minorHAnsi"/>
          <w:i/>
          <w:noProof/>
        </w:rPr>
        <w:t>Za unos podataka u ovom odjeljku vidjeti odjeljak 6 (tačke 464 i 465) CEEAG-a.</w:t>
      </w:r>
    </w:p>
    <w:p w14:paraId="6A0ECE9F" w14:textId="77777777" w:rsidR="0044429C" w:rsidRPr="0086255B" w:rsidRDefault="0044429C" w:rsidP="0044429C">
      <w:pPr>
        <w:pStyle w:val="NumPar1"/>
        <w:numPr>
          <w:ilvl w:val="0"/>
          <w:numId w:val="7"/>
        </w:numPr>
        <w:tabs>
          <w:tab w:val="clear" w:pos="850"/>
        </w:tabs>
        <w:ind w:left="360" w:hanging="360"/>
        <w:rPr>
          <w:rFonts w:asciiTheme="minorHAnsi" w:hAnsiTheme="minorHAnsi" w:cstheme="minorHAnsi"/>
          <w:noProof/>
          <w:sz w:val="22"/>
        </w:rPr>
      </w:pPr>
      <w:r w:rsidRPr="0086255B">
        <w:rPr>
          <w:rFonts w:asciiTheme="minorHAnsi" w:hAnsiTheme="minorHAnsi" w:cstheme="minorHAnsi"/>
          <w:noProof/>
          <w:sz w:val="22"/>
        </w:rPr>
        <w:t>Potvrdite da će država članica ispuniti zahtjeve za izvještavanje i praćenje iz odjeljka 6 tačke 464 i 465 CEEAG-a.</w:t>
      </w:r>
    </w:p>
    <w:p w14:paraId="1A2D3851" w14:textId="77777777" w:rsidR="0044429C" w:rsidRPr="0044429C" w:rsidRDefault="0044429C" w:rsidP="0044429C">
      <w:pPr>
        <w:tabs>
          <w:tab w:val="left" w:leader="dot" w:pos="9072"/>
        </w:tabs>
        <w:spacing w:after="120"/>
        <w:rPr>
          <w:rFonts w:cstheme="minorHAnsi"/>
          <w:noProof/>
        </w:rPr>
      </w:pPr>
      <w:bookmarkStart w:id="2" w:name="_GoBack"/>
      <w:bookmarkEnd w:id="2"/>
      <w:r w:rsidRPr="0044429C">
        <w:rPr>
          <w:rFonts w:cstheme="minorHAnsi"/>
          <w:noProof/>
        </w:rPr>
        <w:tab/>
      </w:r>
    </w:p>
    <w:p w14:paraId="1FC3FFA7" w14:textId="55199210" w:rsidR="001E27D7" w:rsidRDefault="0044429C" w:rsidP="0044429C">
      <w:r w:rsidRPr="0086255B">
        <w:rPr>
          <w:rFonts w:cstheme="minorHAnsi"/>
          <w:noProof/>
        </w:rPr>
        <w:tab/>
      </w:r>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390B7" w14:textId="77777777" w:rsidR="004752F5" w:rsidRDefault="004752F5" w:rsidP="0044429C">
      <w:pPr>
        <w:spacing w:after="0" w:line="240" w:lineRule="auto"/>
      </w:pPr>
      <w:r>
        <w:separator/>
      </w:r>
    </w:p>
  </w:endnote>
  <w:endnote w:type="continuationSeparator" w:id="0">
    <w:p w14:paraId="47CB5C4E" w14:textId="77777777" w:rsidR="004752F5" w:rsidRDefault="004752F5" w:rsidP="00444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CF374" w14:textId="77777777" w:rsidR="004752F5" w:rsidRDefault="004752F5" w:rsidP="0044429C">
      <w:pPr>
        <w:spacing w:after="0" w:line="240" w:lineRule="auto"/>
      </w:pPr>
      <w:r>
        <w:separator/>
      </w:r>
    </w:p>
  </w:footnote>
  <w:footnote w:type="continuationSeparator" w:id="0">
    <w:p w14:paraId="17BDF597" w14:textId="77777777" w:rsidR="004752F5" w:rsidRDefault="004752F5" w:rsidP="0044429C">
      <w:pPr>
        <w:spacing w:after="0" w:line="240" w:lineRule="auto"/>
      </w:pPr>
      <w:r>
        <w:continuationSeparator/>
      </w:r>
    </w:p>
  </w:footnote>
  <w:footnote w:id="1">
    <w:p w14:paraId="510543A8" w14:textId="77777777" w:rsidR="0044429C" w:rsidRPr="004E6EC5" w:rsidRDefault="0044429C" w:rsidP="0044429C">
      <w:pPr>
        <w:pStyle w:val="FootnoteText"/>
        <w:spacing w:before="0"/>
        <w:ind w:left="0" w:firstLine="0"/>
        <w:contextualSpacing/>
        <w:rPr>
          <w:rFonts w:asciiTheme="minorHAnsi" w:hAnsiTheme="minorHAnsi" w:cstheme="minorHAnsi"/>
        </w:rPr>
      </w:pPr>
      <w:r w:rsidRPr="001D3786">
        <w:rPr>
          <w:rStyle w:val="FootnoteReference"/>
          <w:rFonts w:asciiTheme="minorHAnsi" w:hAnsiTheme="minorHAnsi" w:cstheme="minorHAnsi"/>
        </w:rPr>
        <w:footnoteRef/>
      </w:r>
      <w:r>
        <w:rPr>
          <w:rFonts w:asciiTheme="minorHAnsi" w:hAnsiTheme="minorHAnsi" w:cstheme="minorHAnsi"/>
        </w:rPr>
        <w:t xml:space="preserve"> </w:t>
      </w:r>
      <w:r w:rsidRPr="001D3786">
        <w:rPr>
          <w:rFonts w:asciiTheme="minorHAnsi" w:hAnsiTheme="minorHAnsi" w:cstheme="minorHAnsi"/>
        </w:rPr>
        <w:tab/>
      </w:r>
      <w:proofErr w:type="spellStart"/>
      <w:r w:rsidRPr="001D3786">
        <w:rPr>
          <w:rFonts w:asciiTheme="minorHAnsi" w:hAnsiTheme="minorHAnsi" w:cstheme="minorHAnsi"/>
        </w:rPr>
        <w:t>Napominjemo</w:t>
      </w:r>
      <w:proofErr w:type="spellEnd"/>
      <w:r w:rsidRPr="001D3786">
        <w:rPr>
          <w:rFonts w:asciiTheme="minorHAnsi" w:hAnsiTheme="minorHAnsi" w:cstheme="minorHAnsi"/>
        </w:rPr>
        <w:t xml:space="preserve"> da se za </w:t>
      </w:r>
      <w:proofErr w:type="spellStart"/>
      <w:r w:rsidRPr="001D3786">
        <w:rPr>
          <w:rFonts w:asciiTheme="minorHAnsi" w:hAnsiTheme="minorHAnsi" w:cstheme="minorHAnsi"/>
        </w:rPr>
        <w:t>šemu</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pomoći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trajanje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odnosi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na</w:t>
      </w:r>
      <w:proofErr w:type="spellEnd"/>
      <w:r w:rsidRPr="001D3786">
        <w:rPr>
          <w:rFonts w:asciiTheme="minorHAnsi" w:hAnsiTheme="minorHAnsi" w:cstheme="minorHAnsi"/>
        </w:rPr>
        <w:t xml:space="preserve"> period </w:t>
      </w:r>
      <w:proofErr w:type="spellStart"/>
      <w:r w:rsidRPr="001D3786">
        <w:rPr>
          <w:rFonts w:asciiTheme="minorHAnsi" w:hAnsiTheme="minorHAnsi" w:cstheme="minorHAnsi"/>
        </w:rPr>
        <w:t>tokom</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kojeg</w:t>
      </w:r>
      <w:proofErr w:type="spellEnd"/>
      <w:r w:rsidRPr="001D3786">
        <w:rPr>
          <w:rFonts w:asciiTheme="minorHAnsi" w:hAnsiTheme="minorHAnsi" w:cstheme="minorHAnsi"/>
        </w:rPr>
        <w:t xml:space="preserve"> se </w:t>
      </w:r>
      <w:proofErr w:type="spellStart"/>
      <w:r w:rsidRPr="001D3786">
        <w:rPr>
          <w:rFonts w:asciiTheme="minorHAnsi" w:hAnsiTheme="minorHAnsi" w:cstheme="minorHAnsi"/>
        </w:rPr>
        <w:t>može</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podnijeti</w:t>
      </w:r>
      <w:proofErr w:type="spellEnd"/>
      <w:r w:rsidRPr="001D3786">
        <w:rPr>
          <w:rFonts w:asciiTheme="minorHAnsi" w:hAnsiTheme="minorHAnsi" w:cstheme="minorHAnsi"/>
        </w:rPr>
        <w:t xml:space="preserve"> </w:t>
      </w:r>
      <w:proofErr w:type="spellStart"/>
      <w:r w:rsidRPr="001D3786">
        <w:rPr>
          <w:rFonts w:asciiTheme="minorHAnsi" w:hAnsiTheme="minorHAnsi" w:cstheme="minorHAnsi"/>
        </w:rPr>
        <w:t>zahtjev</w:t>
      </w:r>
      <w:proofErr w:type="spellEnd"/>
      <w:r w:rsidRPr="001D3786">
        <w:rPr>
          <w:rFonts w:asciiTheme="minorHAnsi" w:hAnsiTheme="minorHAnsi" w:cstheme="minorHAnsi"/>
        </w:rPr>
        <w:t xml:space="preserve"> za </w:t>
      </w:r>
      <w:proofErr w:type="spellStart"/>
      <w:r w:rsidRPr="001D3786">
        <w:rPr>
          <w:rFonts w:asciiTheme="minorHAnsi" w:hAnsiTheme="minorHAnsi" w:cstheme="minorHAnsi"/>
        </w:rPr>
        <w:t>pomoć</w:t>
      </w:r>
      <w:proofErr w:type="spellEnd"/>
      <w:r w:rsidRPr="004E6EC5">
        <w:rPr>
          <w:rFonts w:asciiTheme="minorHAnsi" w:hAnsiTheme="minorHAnsi" w:cstheme="minorHAnsi"/>
        </w:rPr>
        <w:t xml:space="preserve"> i u </w:t>
      </w:r>
      <w:proofErr w:type="spellStart"/>
      <w:r w:rsidRPr="004E6EC5">
        <w:rPr>
          <w:rFonts w:asciiTheme="minorHAnsi" w:hAnsiTheme="minorHAnsi" w:cstheme="minorHAnsi"/>
        </w:rPr>
        <w:t>kojem</w:t>
      </w:r>
      <w:proofErr w:type="spellEnd"/>
      <w:r w:rsidRPr="004E6EC5">
        <w:rPr>
          <w:rFonts w:asciiTheme="minorHAnsi" w:hAnsiTheme="minorHAnsi" w:cstheme="minorHAnsi"/>
        </w:rPr>
        <w:t xml:space="preserve"> se o </w:t>
      </w:r>
      <w:proofErr w:type="spellStart"/>
      <w:r w:rsidRPr="004E6EC5">
        <w:rPr>
          <w:rFonts w:asciiTheme="minorHAnsi" w:hAnsiTheme="minorHAnsi" w:cstheme="minorHAnsi"/>
        </w:rPr>
        <w:t>njemu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odlučuje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uključujući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vrijeme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koje</w:t>
      </w:r>
      <w:proofErr w:type="spellEnd"/>
      <w:r w:rsidRPr="004E6EC5">
        <w:rPr>
          <w:rFonts w:asciiTheme="minorHAnsi" w:hAnsiTheme="minorHAnsi" w:cstheme="minorHAnsi"/>
        </w:rPr>
        <w:t xml:space="preserve"> je </w:t>
      </w:r>
      <w:proofErr w:type="spellStart"/>
      <w:r w:rsidRPr="004E6EC5">
        <w:rPr>
          <w:rFonts w:asciiTheme="minorHAnsi" w:hAnsiTheme="minorHAnsi" w:cstheme="minorHAnsi"/>
        </w:rPr>
        <w:t>nacionalnim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organima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potrebno</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odobravanje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zahtjeva</w:t>
      </w:r>
      <w:proofErr w:type="spellEnd"/>
      <w:r w:rsidRPr="004E6EC5">
        <w:rPr>
          <w:rFonts w:asciiTheme="minorHAnsi" w:hAnsiTheme="minorHAnsi" w:cstheme="minorHAnsi"/>
        </w:rPr>
        <w:t xml:space="preserve"> za </w:t>
      </w:r>
      <w:proofErr w:type="spellStart"/>
      <w:r w:rsidRPr="004E6EC5">
        <w:rPr>
          <w:rFonts w:asciiTheme="minorHAnsi" w:hAnsiTheme="minorHAnsi" w:cstheme="minorHAnsi"/>
        </w:rPr>
        <w:t>pomoć</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navedeno</w:t>
      </w:r>
      <w:proofErr w:type="spellEnd"/>
      <w:r w:rsidRPr="004E6EC5">
        <w:rPr>
          <w:rFonts w:asciiTheme="minorHAnsi" w:hAnsiTheme="minorHAnsi" w:cstheme="minorHAnsi"/>
        </w:rPr>
        <w:t xml:space="preserve"> u </w:t>
      </w:r>
      <w:proofErr w:type="spellStart"/>
      <w:r w:rsidRPr="004E6EC5">
        <w:rPr>
          <w:rFonts w:asciiTheme="minorHAnsi" w:hAnsiTheme="minorHAnsi" w:cstheme="minorHAnsi"/>
        </w:rPr>
        <w:t>ovom</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pitanju</w:t>
      </w:r>
      <w:proofErr w:type="spellEnd"/>
      <w:r w:rsidRPr="004E6EC5">
        <w:rPr>
          <w:rFonts w:asciiTheme="minorHAnsi" w:hAnsiTheme="minorHAnsi" w:cstheme="minorHAnsi"/>
        </w:rPr>
        <w:t xml:space="preserve"> ne </w:t>
      </w:r>
      <w:proofErr w:type="spellStart"/>
      <w:r w:rsidRPr="004E6EC5">
        <w:rPr>
          <w:rFonts w:asciiTheme="minorHAnsi" w:hAnsiTheme="minorHAnsi" w:cstheme="minorHAnsi"/>
        </w:rPr>
        <w:t>odnosi</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na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trajanje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ugovora</w:t>
      </w:r>
      <w:proofErr w:type="spellEnd"/>
      <w:r w:rsidRPr="004E6EC5">
        <w:rPr>
          <w:rFonts w:asciiTheme="minorHAnsi" w:hAnsiTheme="minorHAnsi" w:cstheme="minorHAnsi"/>
        </w:rPr>
        <w:t xml:space="preserve"> </w:t>
      </w:r>
      <w:proofErr w:type="spellStart"/>
      <w:r>
        <w:rPr>
          <w:rFonts w:asciiTheme="minorHAnsi" w:hAnsiTheme="minorHAnsi" w:cstheme="minorHAnsi"/>
        </w:rPr>
        <w:t>zaključenih</w:t>
      </w:r>
      <w:proofErr w:type="spellEnd"/>
      <w:r>
        <w:rPr>
          <w:rFonts w:asciiTheme="minorHAnsi" w:hAnsiTheme="minorHAnsi" w:cstheme="minorHAnsi"/>
        </w:rPr>
        <w:t xml:space="preserve"> </w:t>
      </w:r>
      <w:r w:rsidRPr="004E6EC5">
        <w:rPr>
          <w:rFonts w:asciiTheme="minorHAnsi" w:hAnsiTheme="minorHAnsi" w:cstheme="minorHAnsi"/>
        </w:rPr>
        <w:t xml:space="preserve">u </w:t>
      </w:r>
      <w:proofErr w:type="spellStart"/>
      <w:r w:rsidRPr="004E6EC5">
        <w:rPr>
          <w:rFonts w:asciiTheme="minorHAnsi" w:hAnsiTheme="minorHAnsi" w:cstheme="minorHAnsi"/>
        </w:rPr>
        <w:t>okviru</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šeme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pomoći</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koj</w:t>
      </w:r>
      <w:r>
        <w:rPr>
          <w:rFonts w:asciiTheme="minorHAnsi" w:hAnsiTheme="minorHAnsi" w:cstheme="minorHAnsi"/>
        </w:rPr>
        <w:t>a</w:t>
      </w:r>
      <w:proofErr w:type="spellEnd"/>
      <w:r w:rsidRPr="004E6EC5">
        <w:rPr>
          <w:rFonts w:asciiTheme="minorHAnsi" w:hAnsiTheme="minorHAnsi" w:cstheme="minorHAnsi"/>
        </w:rPr>
        <w:t xml:space="preserve"> se </w:t>
      </w:r>
      <w:proofErr w:type="spellStart"/>
      <w:r w:rsidRPr="004E6EC5">
        <w:rPr>
          <w:rFonts w:asciiTheme="minorHAnsi" w:hAnsiTheme="minorHAnsi" w:cstheme="minorHAnsi"/>
        </w:rPr>
        <w:t>može</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nastaviti</w:t>
      </w:r>
      <w:proofErr w:type="spellEnd"/>
      <w:r w:rsidRPr="004E6EC5">
        <w:rPr>
          <w:rFonts w:asciiTheme="minorHAnsi" w:hAnsiTheme="minorHAnsi" w:cstheme="minorHAnsi"/>
        </w:rPr>
        <w:t xml:space="preserve"> i </w:t>
      </w:r>
      <w:proofErr w:type="spellStart"/>
      <w:r w:rsidRPr="004E6EC5">
        <w:rPr>
          <w:rFonts w:asciiTheme="minorHAnsi" w:hAnsiTheme="minorHAnsi" w:cstheme="minorHAnsi"/>
        </w:rPr>
        <w:t>nakon</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isteka</w:t>
      </w:r>
      <w:proofErr w:type="spellEnd"/>
      <w:r w:rsidRPr="004E6EC5">
        <w:rPr>
          <w:rFonts w:asciiTheme="minorHAnsi" w:hAnsiTheme="minorHAnsi" w:cstheme="minorHAnsi"/>
        </w:rPr>
        <w:t xml:space="preserve"> </w:t>
      </w:r>
      <w:proofErr w:type="spellStart"/>
      <w:r w:rsidRPr="004E6EC5">
        <w:rPr>
          <w:rFonts w:asciiTheme="minorHAnsi" w:hAnsiTheme="minorHAnsi" w:cstheme="minorHAnsi"/>
        </w:rPr>
        <w:t>mjere</w:t>
      </w:r>
      <w:proofErr w:type="spellEnd"/>
      <w:r w:rsidRPr="004E6EC5">
        <w:rPr>
          <w:rFonts w:asciiTheme="minorHAnsi" w:hAnsiTheme="minorHAnsi" w:cstheme="minorHAnsi"/>
        </w:rPr>
        <w:t>.</w:t>
      </w:r>
    </w:p>
  </w:footnote>
  <w:footnote w:id="2">
    <w:p w14:paraId="520167AF" w14:textId="77777777" w:rsidR="0044429C" w:rsidRPr="009960B4" w:rsidRDefault="0044429C" w:rsidP="0044429C">
      <w:pPr>
        <w:pStyle w:val="FootnoteText"/>
        <w:spacing w:before="0"/>
        <w:ind w:left="0" w:firstLine="0"/>
        <w:rPr>
          <w:rFonts w:asciiTheme="minorHAnsi" w:hAnsiTheme="minorHAnsi" w:cstheme="minorHAnsi"/>
        </w:rPr>
      </w:pPr>
      <w:r w:rsidRPr="009960B4">
        <w:rPr>
          <w:rStyle w:val="FootnoteReference"/>
          <w:rFonts w:asciiTheme="minorHAnsi" w:hAnsiTheme="minorHAnsi" w:cstheme="minorHAnsi"/>
        </w:rPr>
        <w:footnoteRef/>
      </w:r>
      <w:r w:rsidRPr="009960B4">
        <w:rPr>
          <w:rFonts w:asciiTheme="minorHAnsi" w:hAnsiTheme="minorHAnsi" w:cstheme="minorHAnsi"/>
        </w:rPr>
        <w:tab/>
      </w:r>
      <w:r>
        <w:rPr>
          <w:rFonts w:asciiTheme="minorHAnsi" w:hAnsiTheme="minorHAnsi" w:cstheme="minorHAnsi"/>
        </w:rPr>
        <w:t xml:space="preserve"> </w:t>
      </w:r>
      <w:proofErr w:type="spellStart"/>
      <w:r w:rsidRPr="009960B4">
        <w:rPr>
          <w:rFonts w:asciiTheme="minorHAnsi" w:hAnsiTheme="minorHAnsi" w:cstheme="minorHAnsi"/>
        </w:rPr>
        <w:t>Napominjemo</w:t>
      </w:r>
      <w:proofErr w:type="spellEnd"/>
      <w:r w:rsidRPr="009960B4">
        <w:rPr>
          <w:rFonts w:asciiTheme="minorHAnsi" w:hAnsiTheme="minorHAnsi" w:cstheme="minorHAnsi"/>
        </w:rPr>
        <w:t xml:space="preserve"> da </w:t>
      </w:r>
      <w:proofErr w:type="spellStart"/>
      <w:r w:rsidRPr="009960B4">
        <w:rPr>
          <w:rFonts w:asciiTheme="minorHAnsi" w:hAnsiTheme="minorHAnsi" w:cstheme="minorHAnsi"/>
        </w:rPr>
        <w:t>promjena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stvarnog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ili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procijenjenog</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budžeta</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može</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predstavljati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izmjenu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pomoći</w:t>
      </w:r>
      <w:proofErr w:type="spellEnd"/>
      <w:r w:rsidRPr="009960B4">
        <w:rPr>
          <w:rFonts w:asciiTheme="minorHAnsi" w:hAnsiTheme="minorHAnsi" w:cstheme="minorHAnsi"/>
        </w:rPr>
        <w:t xml:space="preserve"> za </w:t>
      </w:r>
      <w:proofErr w:type="spellStart"/>
      <w:r w:rsidRPr="009960B4">
        <w:rPr>
          <w:rFonts w:asciiTheme="minorHAnsi" w:hAnsiTheme="minorHAnsi" w:cstheme="minorHAnsi"/>
        </w:rPr>
        <w:t>koju</w:t>
      </w:r>
      <w:proofErr w:type="spellEnd"/>
      <w:r w:rsidRPr="009960B4">
        <w:rPr>
          <w:rFonts w:asciiTheme="minorHAnsi" w:hAnsiTheme="minorHAnsi" w:cstheme="minorHAnsi"/>
        </w:rPr>
        <w:t xml:space="preserve"> je </w:t>
      </w:r>
      <w:proofErr w:type="spellStart"/>
      <w:r w:rsidRPr="009960B4">
        <w:rPr>
          <w:rFonts w:asciiTheme="minorHAnsi" w:hAnsiTheme="minorHAnsi" w:cstheme="minorHAnsi"/>
        </w:rPr>
        <w:t>potrebno</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podnijeti</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novu</w:t>
      </w:r>
      <w:proofErr w:type="spellEnd"/>
      <w:r w:rsidRPr="009960B4">
        <w:rPr>
          <w:rFonts w:asciiTheme="minorHAnsi" w:hAnsiTheme="minorHAnsi" w:cstheme="minorHAnsi"/>
        </w:rPr>
        <w:t xml:space="preserve"> </w:t>
      </w:r>
      <w:proofErr w:type="spellStart"/>
      <w:r w:rsidRPr="009960B4">
        <w:rPr>
          <w:rFonts w:asciiTheme="minorHAnsi" w:hAnsiTheme="minorHAnsi" w:cstheme="minorHAnsi"/>
        </w:rPr>
        <w:t>prijavu</w:t>
      </w:r>
      <w:proofErr w:type="spellEnd"/>
      <w:r w:rsidRPr="009960B4">
        <w:rPr>
          <w:rFonts w:asciiTheme="minorHAnsi" w:hAnsiTheme="minorHAnsi" w:cstheme="minorHAnsi"/>
        </w:rPr>
        <w:t>.</w:t>
      </w:r>
    </w:p>
  </w:footnote>
  <w:footnote w:id="3">
    <w:p w14:paraId="1AF394BF" w14:textId="77777777" w:rsidR="0044429C" w:rsidRPr="00CF0DE9" w:rsidRDefault="0044429C" w:rsidP="0044429C">
      <w:pPr>
        <w:pStyle w:val="FootnoteText"/>
        <w:spacing w:before="0"/>
        <w:ind w:left="0" w:firstLine="0"/>
        <w:contextualSpacing/>
        <w:rPr>
          <w:rFonts w:asciiTheme="minorHAnsi" w:hAnsiTheme="minorHAnsi" w:cstheme="minorHAnsi"/>
        </w:rPr>
      </w:pPr>
      <w:r w:rsidRPr="00CF0DE9">
        <w:rPr>
          <w:rStyle w:val="FootnoteReference"/>
          <w:rFonts w:asciiTheme="minorHAnsi" w:hAnsiTheme="minorHAnsi" w:cstheme="minorHAnsi"/>
        </w:rPr>
        <w:footnoteRef/>
      </w:r>
      <w:r w:rsidRPr="00CF0DE9">
        <w:rPr>
          <w:rFonts w:asciiTheme="minorHAnsi" w:hAnsiTheme="minorHAnsi" w:cstheme="minorHAnsi"/>
        </w:rPr>
        <w:t xml:space="preserve"> </w:t>
      </w:r>
      <w:proofErr w:type="spellStart"/>
      <w:r w:rsidRPr="00CF0DE9">
        <w:rPr>
          <w:rFonts w:asciiTheme="minorHAnsi" w:hAnsiTheme="minorHAnsi" w:cstheme="minorHAnsi"/>
        </w:rPr>
        <w:t>Prema</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definiciji</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iz</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statističke</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klasifika</w:t>
      </w:r>
      <w:r>
        <w:rPr>
          <w:rFonts w:asciiTheme="minorHAnsi" w:hAnsiTheme="minorHAnsi" w:cstheme="minorHAnsi"/>
        </w:rPr>
        <w:t>cije</w:t>
      </w:r>
      <w:proofErr w:type="spellEnd"/>
      <w:r>
        <w:rPr>
          <w:rFonts w:asciiTheme="minorHAnsi" w:hAnsiTheme="minorHAnsi" w:cstheme="minorHAnsi"/>
        </w:rPr>
        <w:t xml:space="preserve"> </w:t>
      </w:r>
      <w:proofErr w:type="spellStart"/>
      <w:r>
        <w:rPr>
          <w:rFonts w:asciiTheme="minorHAnsi" w:hAnsiTheme="minorHAnsi" w:cstheme="minorHAnsi"/>
        </w:rPr>
        <w:t>ekonomskih</w:t>
      </w:r>
      <w:proofErr w:type="spellEnd"/>
      <w:r>
        <w:rPr>
          <w:rFonts w:asciiTheme="minorHAnsi" w:hAnsiTheme="minorHAnsi" w:cstheme="minorHAnsi"/>
        </w:rPr>
        <w:t xml:space="preserve"> </w:t>
      </w:r>
      <w:proofErr w:type="spellStart"/>
      <w:r>
        <w:rPr>
          <w:rFonts w:asciiTheme="minorHAnsi" w:hAnsiTheme="minorHAnsi" w:cstheme="minorHAnsi"/>
        </w:rPr>
        <w:t>djelatnosti</w:t>
      </w:r>
      <w:proofErr w:type="spellEnd"/>
      <w:r>
        <w:rPr>
          <w:rFonts w:asciiTheme="minorHAnsi" w:hAnsiTheme="minorHAnsi" w:cstheme="minorHAnsi"/>
        </w:rPr>
        <w:t xml:space="preserve"> u </w:t>
      </w:r>
      <w:proofErr w:type="spellStart"/>
      <w:r>
        <w:rPr>
          <w:rFonts w:asciiTheme="minorHAnsi" w:hAnsiTheme="minorHAnsi" w:cstheme="minorHAnsi"/>
        </w:rPr>
        <w:t>Ev</w:t>
      </w:r>
      <w:r w:rsidRPr="00CF0DE9">
        <w:rPr>
          <w:rFonts w:asciiTheme="minorHAnsi" w:hAnsiTheme="minorHAnsi" w:cstheme="minorHAnsi"/>
        </w:rPr>
        <w:t>ropskoj</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zajednici</w:t>
      </w:r>
      <w:proofErr w:type="spellEnd"/>
      <w:r w:rsidRPr="00CF0DE9">
        <w:rPr>
          <w:rFonts w:asciiTheme="minorHAnsi" w:hAnsiTheme="minorHAnsi" w:cstheme="minorHAnsi"/>
        </w:rPr>
        <w:t xml:space="preserve"> („NACE Rev.2“ </w:t>
      </w:r>
      <w:proofErr w:type="spellStart"/>
      <w:r w:rsidRPr="00CF0DE9">
        <w:rPr>
          <w:rFonts w:asciiTheme="minorHAnsi" w:hAnsiTheme="minorHAnsi" w:cstheme="minorHAnsi"/>
        </w:rPr>
        <w:t>klasifikacija</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na</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nivou</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razdvajanja</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koja</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nije</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više</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od</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osam</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cifara</w:t>
      </w:r>
      <w:proofErr w:type="spellEnd"/>
      <w:r w:rsidRPr="00CF0DE9">
        <w:rPr>
          <w:rFonts w:asciiTheme="minorHAnsi" w:hAnsiTheme="minorHAnsi" w:cstheme="minorHAnsi"/>
        </w:rPr>
        <w:t xml:space="preserve"> („PRODCOM” </w:t>
      </w:r>
      <w:proofErr w:type="spellStart"/>
      <w:r w:rsidRPr="00CF0DE9">
        <w:rPr>
          <w:rFonts w:asciiTheme="minorHAnsi" w:hAnsiTheme="minorHAnsi" w:cstheme="minorHAnsi"/>
        </w:rPr>
        <w:t>nivo</w:t>
      </w:r>
      <w:proofErr w:type="spellEnd"/>
      <w:r w:rsidRPr="00CF0DE9">
        <w:rPr>
          <w:rFonts w:asciiTheme="minorHAnsi" w:hAnsiTheme="minorHAnsi" w:cstheme="minorHAnsi"/>
        </w:rPr>
        <w:t>).</w:t>
      </w:r>
    </w:p>
  </w:footnote>
  <w:footnote w:id="4">
    <w:p w14:paraId="0D9E13A5" w14:textId="77777777" w:rsidR="0044429C" w:rsidRPr="00CF0DE9" w:rsidRDefault="0044429C" w:rsidP="0044429C">
      <w:pPr>
        <w:pStyle w:val="FootnoteText"/>
        <w:spacing w:before="0"/>
        <w:ind w:left="0" w:firstLine="0"/>
        <w:contextualSpacing/>
        <w:rPr>
          <w:rFonts w:asciiTheme="minorHAnsi" w:hAnsiTheme="minorHAnsi" w:cstheme="minorHAnsi"/>
        </w:rPr>
      </w:pPr>
      <w:r w:rsidRPr="00CF0DE9">
        <w:rPr>
          <w:rStyle w:val="FootnoteReference"/>
          <w:rFonts w:asciiTheme="minorHAnsi" w:hAnsiTheme="minorHAnsi" w:cstheme="minorHAnsi"/>
        </w:rPr>
        <w:footnoteRef/>
      </w:r>
      <w:r w:rsidRPr="00CF0DE9">
        <w:rPr>
          <w:rFonts w:asciiTheme="minorHAnsi" w:hAnsiTheme="minorHAnsi" w:cstheme="minorHAnsi"/>
        </w:rPr>
        <w:t xml:space="preserve"> </w:t>
      </w:r>
      <w:r w:rsidRPr="00CF0DE9">
        <w:rPr>
          <w:rFonts w:asciiTheme="minorHAnsi" w:hAnsiTheme="minorHAnsi" w:cstheme="minorHAnsi"/>
        </w:rPr>
        <w:t xml:space="preserve">Na </w:t>
      </w:r>
      <w:proofErr w:type="spellStart"/>
      <w:r w:rsidRPr="00CF0DE9">
        <w:rPr>
          <w:rFonts w:asciiTheme="minorHAnsi" w:hAnsiTheme="minorHAnsi" w:cstheme="minorHAnsi"/>
        </w:rPr>
        <w:t>primjer</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podaci</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koji</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obuhvataju</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značajan</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procenat</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bruto</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dodate</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vrijednosti</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predmetnog</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sektora</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ili</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podsektora</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na</w:t>
      </w:r>
      <w:proofErr w:type="spellEnd"/>
      <w:r w:rsidRPr="00CF0DE9">
        <w:rPr>
          <w:rFonts w:asciiTheme="minorHAnsi" w:hAnsiTheme="minorHAnsi" w:cstheme="minorHAnsi"/>
        </w:rPr>
        <w:t xml:space="preserve"> </w:t>
      </w:r>
      <w:proofErr w:type="spellStart"/>
      <w:r w:rsidRPr="00CF0DE9">
        <w:rPr>
          <w:rFonts w:asciiTheme="minorHAnsi" w:hAnsiTheme="minorHAnsi" w:cstheme="minorHAnsi"/>
        </w:rPr>
        <w:t>nivou</w:t>
      </w:r>
      <w:proofErr w:type="spellEnd"/>
      <w:r w:rsidRPr="00CF0DE9">
        <w:rPr>
          <w:rFonts w:asciiTheme="minorHAnsi" w:hAnsiTheme="minorHAnsi" w:cstheme="minorHAnsi"/>
        </w:rPr>
        <w:t xml:space="preserve"> EU.</w:t>
      </w:r>
    </w:p>
  </w:footnote>
  <w:footnote w:id="5">
    <w:p w14:paraId="04645386" w14:textId="77777777" w:rsidR="0044429C" w:rsidRPr="00746E88" w:rsidRDefault="0044429C" w:rsidP="0044429C">
      <w:pPr>
        <w:pStyle w:val="FootnoteText"/>
        <w:spacing w:before="0"/>
        <w:ind w:left="0" w:firstLine="0"/>
        <w:contextualSpacing/>
        <w:rPr>
          <w:rFonts w:asciiTheme="minorHAnsi" w:hAnsiTheme="minorHAnsi" w:cstheme="minorHAnsi"/>
        </w:rPr>
      </w:pPr>
      <w:r w:rsidRPr="00746E88">
        <w:rPr>
          <w:rStyle w:val="FootnoteReference"/>
          <w:rFonts w:asciiTheme="minorHAnsi" w:hAnsiTheme="minorHAnsi" w:cstheme="minorHAnsi"/>
        </w:rPr>
        <w:footnoteRef/>
      </w:r>
      <w:r>
        <w:rPr>
          <w:rFonts w:asciiTheme="minorHAnsi" w:hAnsiTheme="minorHAnsi" w:cstheme="minorHAnsi"/>
        </w:rPr>
        <w:t xml:space="preserve"> </w:t>
      </w:r>
      <w:r w:rsidRPr="00746E88">
        <w:rPr>
          <w:rFonts w:asciiTheme="minorHAnsi" w:hAnsiTheme="minorHAnsi" w:cstheme="minorHAnsi"/>
        </w:rPr>
        <w:tab/>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se </w:t>
      </w:r>
      <w:proofErr w:type="spellStart"/>
      <w:r w:rsidRPr="00746E88">
        <w:rPr>
          <w:rFonts w:asciiTheme="minorHAnsi" w:hAnsiTheme="minorHAnsi" w:cstheme="minorHAnsi"/>
        </w:rPr>
        <w:t>centralizovano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finansijska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sredstva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kojima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upravljaju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institucije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agencije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zajednička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privredn</w:t>
      </w:r>
      <w:r>
        <w:rPr>
          <w:rFonts w:asciiTheme="minorHAnsi" w:hAnsiTheme="minorHAnsi" w:cstheme="minorHAnsi"/>
        </w:rPr>
        <w:t>a</w:t>
      </w:r>
      <w:proofErr w:type="spellEnd"/>
      <w:r>
        <w:rPr>
          <w:rFonts w:asciiTheme="minorHAnsi" w:hAnsiTheme="minorHAnsi" w:cstheme="minorHAnsi"/>
        </w:rPr>
        <w:t xml:space="preserve"> </w:t>
      </w:r>
      <w:proofErr w:type="spellStart"/>
      <w:r>
        <w:rPr>
          <w:rFonts w:asciiTheme="minorHAnsi" w:hAnsiTheme="minorHAnsi" w:cstheme="minorHAnsi"/>
        </w:rPr>
        <w:t>društva</w:t>
      </w:r>
      <w:proofErr w:type="spellEnd"/>
      <w:r>
        <w:rPr>
          <w:rFonts w:asciiTheme="minorHAnsi" w:hAnsiTheme="minorHAnsi" w:cstheme="minorHAnsi"/>
        </w:rPr>
        <w:t xml:space="preserve"> </w:t>
      </w:r>
      <w:proofErr w:type="spellStart"/>
      <w:r>
        <w:rPr>
          <w:rFonts w:asciiTheme="minorHAnsi" w:hAnsiTheme="minorHAnsi" w:cstheme="minorHAnsi"/>
        </w:rPr>
        <w:t>ili</w:t>
      </w:r>
      <w:proofErr w:type="spellEnd"/>
      <w:r>
        <w:rPr>
          <w:rFonts w:asciiTheme="minorHAnsi" w:hAnsiTheme="minorHAnsi" w:cstheme="minorHAnsi"/>
        </w:rPr>
        <w:t xml:space="preserve"> </w:t>
      </w:r>
      <w:proofErr w:type="spellStart"/>
      <w:r>
        <w:rPr>
          <w:rFonts w:asciiTheme="minorHAnsi" w:hAnsiTheme="minorHAnsi" w:cstheme="minorHAnsi"/>
        </w:rPr>
        <w:t>ostali</w:t>
      </w:r>
      <w:proofErr w:type="spellEnd"/>
      <w:r>
        <w:rPr>
          <w:rFonts w:asciiTheme="minorHAnsi" w:hAnsiTheme="minorHAnsi" w:cstheme="minorHAnsi"/>
        </w:rPr>
        <w:t xml:space="preserve"> </w:t>
      </w:r>
      <w:proofErr w:type="spellStart"/>
      <w:r>
        <w:rPr>
          <w:rFonts w:asciiTheme="minorHAnsi" w:hAnsiTheme="minorHAnsi" w:cstheme="minorHAnsi"/>
        </w:rPr>
        <w:t>organi</w:t>
      </w:r>
      <w:proofErr w:type="spellEnd"/>
      <w:r>
        <w:rPr>
          <w:rFonts w:asciiTheme="minorHAnsi" w:hAnsiTheme="minorHAnsi" w:cstheme="minorHAnsi"/>
        </w:rPr>
        <w:t xml:space="preserve"> </w:t>
      </w:r>
      <w:proofErr w:type="spellStart"/>
      <w:r>
        <w:rPr>
          <w:rFonts w:asciiTheme="minorHAnsi" w:hAnsiTheme="minorHAnsi" w:cstheme="minorHAnsi"/>
        </w:rPr>
        <w:t>Ev</w:t>
      </w:r>
      <w:r w:rsidRPr="00746E88">
        <w:rPr>
          <w:rFonts w:asciiTheme="minorHAnsi" w:hAnsiTheme="minorHAnsi" w:cstheme="minorHAnsi"/>
        </w:rPr>
        <w:t>ropske</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unije</w:t>
      </w:r>
      <w:proofErr w:type="spellEnd"/>
      <w:r w:rsidRPr="00746E88">
        <w:rPr>
          <w:rFonts w:asciiTheme="minorHAnsi" w:hAnsiTheme="minorHAnsi" w:cstheme="minorHAnsi"/>
        </w:rPr>
        <w:t xml:space="preserve"> i </w:t>
      </w:r>
      <w:proofErr w:type="spellStart"/>
      <w:r w:rsidRPr="00746E88">
        <w:rPr>
          <w:rFonts w:asciiTheme="minorHAnsi" w:hAnsiTheme="minorHAnsi" w:cstheme="minorHAnsi"/>
        </w:rPr>
        <w:t>koja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nisu</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direktno</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ili</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indirektno</w:t>
      </w:r>
      <w:proofErr w:type="spellEnd"/>
      <w:r w:rsidRPr="00746E88">
        <w:rPr>
          <w:rFonts w:asciiTheme="minorHAnsi" w:hAnsiTheme="minorHAnsi" w:cstheme="minorHAnsi"/>
        </w:rPr>
        <w:t xml:space="preserve"> pod </w:t>
      </w:r>
      <w:proofErr w:type="spellStart"/>
      <w:r w:rsidRPr="00746E88">
        <w:rPr>
          <w:rFonts w:asciiTheme="minorHAnsi" w:hAnsiTheme="minorHAnsi" w:cstheme="minorHAnsi"/>
        </w:rPr>
        <w:t>kontrolom</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država</w:t>
      </w:r>
      <w:proofErr w:type="spellEnd"/>
      <w:r w:rsidRPr="00746E88">
        <w:rPr>
          <w:rFonts w:asciiTheme="minorHAnsi" w:hAnsiTheme="minorHAnsi" w:cstheme="minorHAnsi"/>
        </w:rPr>
        <w:t xml:space="preserve"> </w:t>
      </w:r>
      <w:proofErr w:type="spellStart"/>
      <w:r w:rsidRPr="00746E88">
        <w:rPr>
          <w:rFonts w:asciiTheme="minorHAnsi" w:hAnsiTheme="minorHAnsi" w:cstheme="minorHAnsi"/>
        </w:rPr>
        <w:t>članica</w:t>
      </w:r>
      <w:proofErr w:type="spellEnd"/>
      <w:r w:rsidRPr="00746E88">
        <w:rPr>
          <w:rFonts w:asciiTheme="minorHAnsi" w:hAnsiTheme="minorHAnsi" w:cstheme="minorHAnsi"/>
        </w:rPr>
        <w:t>.</w:t>
      </w:r>
    </w:p>
  </w:footnote>
  <w:footnote w:id="6">
    <w:p w14:paraId="17E4E019" w14:textId="77777777" w:rsidR="0044429C" w:rsidRPr="00CF23C3" w:rsidRDefault="0044429C" w:rsidP="0044429C">
      <w:pPr>
        <w:pStyle w:val="FootnoteText"/>
        <w:spacing w:before="0"/>
        <w:ind w:left="0" w:firstLine="0"/>
        <w:contextualSpacing/>
        <w:rPr>
          <w:rFonts w:asciiTheme="minorHAnsi" w:hAnsiTheme="minorHAnsi" w:cstheme="minorHAnsi"/>
        </w:rPr>
      </w:pPr>
      <w:r w:rsidRPr="00CF23C3">
        <w:rPr>
          <w:rStyle w:val="FootnoteReference"/>
          <w:rFonts w:asciiTheme="minorHAnsi" w:hAnsiTheme="minorHAnsi" w:cstheme="minorHAnsi"/>
        </w:rPr>
        <w:footnoteRef/>
      </w:r>
      <w:r w:rsidRPr="00CF23C3">
        <w:rPr>
          <w:rFonts w:asciiTheme="minorHAnsi" w:hAnsiTheme="minorHAnsi" w:cstheme="minorHAnsi"/>
        </w:rPr>
        <w:tab/>
      </w:r>
      <w:r w:rsidRPr="00CF23C3">
        <w:rPr>
          <w:rFonts w:asciiTheme="minorHAnsi" w:hAnsiTheme="minorHAnsi" w:cstheme="minorHAnsi"/>
        </w:rPr>
        <w:t xml:space="preserve">Model </w:t>
      </w:r>
      <w:proofErr w:type="spellStart"/>
      <w:r w:rsidRPr="00CF23C3">
        <w:rPr>
          <w:rFonts w:asciiTheme="minorHAnsi" w:hAnsiTheme="minorHAnsi" w:cstheme="minorHAnsi"/>
        </w:rPr>
        <w:t>obrasca</w:t>
      </w:r>
      <w:proofErr w:type="spellEnd"/>
      <w:r w:rsidRPr="00CF23C3">
        <w:rPr>
          <w:rFonts w:asciiTheme="minorHAnsi" w:hAnsiTheme="minorHAnsi" w:cstheme="minorHAnsi"/>
        </w:rPr>
        <w:t xml:space="preserve"> o </w:t>
      </w:r>
      <w:proofErr w:type="spellStart"/>
      <w:r w:rsidRPr="00CF23C3">
        <w:rPr>
          <w:rFonts w:asciiTheme="minorHAnsi" w:hAnsiTheme="minorHAnsi" w:cstheme="minorHAnsi"/>
        </w:rPr>
        <w:t>dodatnim</w:t>
      </w:r>
      <w:proofErr w:type="spellEnd"/>
      <w:r w:rsidRPr="00CF23C3">
        <w:rPr>
          <w:rFonts w:asciiTheme="minorHAnsi" w:hAnsiTheme="minorHAnsi" w:cstheme="minorHAnsi"/>
        </w:rPr>
        <w:t xml:space="preserve"> </w:t>
      </w:r>
      <w:proofErr w:type="spellStart"/>
      <w:r w:rsidRPr="00CF23C3">
        <w:rPr>
          <w:rFonts w:asciiTheme="minorHAnsi" w:hAnsiTheme="minorHAnsi" w:cstheme="minorHAnsi"/>
        </w:rPr>
        <w:t>podacima</w:t>
      </w:r>
      <w:proofErr w:type="spellEnd"/>
      <w:r w:rsidRPr="00CF23C3">
        <w:rPr>
          <w:rFonts w:asciiTheme="minorHAnsi" w:hAnsiTheme="minorHAnsi" w:cstheme="minorHAnsi"/>
        </w:rPr>
        <w:t xml:space="preserve"> za </w:t>
      </w:r>
      <w:proofErr w:type="spellStart"/>
      <w:r w:rsidRPr="00CF23C3">
        <w:rPr>
          <w:rFonts w:asciiTheme="minorHAnsi" w:hAnsiTheme="minorHAnsi" w:cstheme="minorHAnsi"/>
        </w:rPr>
        <w:t>prijavu</w:t>
      </w:r>
      <w:proofErr w:type="spellEnd"/>
      <w:r w:rsidRPr="00CF23C3">
        <w:rPr>
          <w:rFonts w:asciiTheme="minorHAnsi" w:hAnsiTheme="minorHAnsi" w:cstheme="minorHAnsi"/>
        </w:rPr>
        <w:t xml:space="preserve"> o </w:t>
      </w:r>
      <w:proofErr w:type="spellStart"/>
      <w:r w:rsidRPr="00CF23C3">
        <w:rPr>
          <w:rFonts w:asciiTheme="minorHAnsi" w:hAnsiTheme="minorHAnsi" w:cstheme="minorHAnsi"/>
        </w:rPr>
        <w:t>planu</w:t>
      </w:r>
      <w:proofErr w:type="spellEnd"/>
      <w:r w:rsidRPr="00CF23C3">
        <w:rPr>
          <w:rFonts w:asciiTheme="minorHAnsi" w:hAnsiTheme="minorHAnsi" w:cstheme="minorHAnsi"/>
        </w:rPr>
        <w:t xml:space="preserve"> </w:t>
      </w:r>
      <w:proofErr w:type="spellStart"/>
      <w:r w:rsidRPr="00CF23C3">
        <w:rPr>
          <w:rFonts w:asciiTheme="minorHAnsi" w:hAnsiTheme="minorHAnsi" w:cstheme="minorHAnsi"/>
        </w:rPr>
        <w:t>evaluacije</w:t>
      </w:r>
      <w:proofErr w:type="spellEnd"/>
      <w:r w:rsidRPr="00CF23C3">
        <w:rPr>
          <w:rFonts w:asciiTheme="minorHAnsi" w:hAnsiTheme="minorHAnsi" w:cstheme="minorHAnsi"/>
        </w:rPr>
        <w:t xml:space="preserve"> (</w:t>
      </w:r>
      <w:proofErr w:type="spellStart"/>
      <w:r w:rsidRPr="00CF23C3">
        <w:rPr>
          <w:rFonts w:asciiTheme="minorHAnsi" w:hAnsiTheme="minorHAnsi" w:cstheme="minorHAnsi"/>
        </w:rPr>
        <w:t>dio</w:t>
      </w:r>
      <w:proofErr w:type="spellEnd"/>
      <w:r w:rsidRPr="00CF23C3">
        <w:rPr>
          <w:rFonts w:asciiTheme="minorHAnsi" w:hAnsiTheme="minorHAnsi" w:cstheme="minorHAnsi"/>
        </w:rPr>
        <w:t xml:space="preserve"> III.8.) </w:t>
      </w:r>
      <w:proofErr w:type="spellStart"/>
      <w:r w:rsidRPr="00CF23C3">
        <w:rPr>
          <w:rFonts w:asciiTheme="minorHAnsi" w:hAnsiTheme="minorHAnsi" w:cstheme="minorHAnsi"/>
        </w:rPr>
        <w:t>dostupan</w:t>
      </w:r>
      <w:proofErr w:type="spellEnd"/>
      <w:r w:rsidRPr="00CF23C3">
        <w:rPr>
          <w:rFonts w:asciiTheme="minorHAnsi" w:hAnsiTheme="minorHAnsi" w:cstheme="minorHAnsi"/>
        </w:rPr>
        <w:t xml:space="preserve"> je </w:t>
      </w:r>
      <w:proofErr w:type="spellStart"/>
      <w:r w:rsidRPr="00CF23C3">
        <w:rPr>
          <w:rFonts w:asciiTheme="minorHAnsi" w:hAnsiTheme="minorHAnsi" w:cstheme="minorHAnsi"/>
        </w:rPr>
        <w:t>ovdje</w:t>
      </w:r>
      <w:proofErr w:type="spellEnd"/>
      <w:r w:rsidRPr="00CF23C3">
        <w:rPr>
          <w:rFonts w:asciiTheme="minorHAnsi" w:hAnsiTheme="minorHAnsi" w:cstheme="minorHAnsi"/>
        </w:rPr>
        <w:t>:</w:t>
      </w:r>
      <w:r>
        <w:rPr>
          <w:rFonts w:asciiTheme="minorHAnsi" w:hAnsiTheme="minorHAnsi" w:cstheme="minorHAnsi"/>
        </w:rPr>
        <w:t xml:space="preserve"> </w:t>
      </w:r>
      <w:hyperlink r:id="rId1" w:anchor="evaluation-plan" w:history="1">
        <w:r w:rsidRPr="006802C0">
          <w:rPr>
            <w:rStyle w:val="Hyperlink"/>
            <w:rFonts w:asciiTheme="minorHAnsi" w:hAnsiTheme="minorHAnsi" w:cstheme="minorHAnsi"/>
          </w:rPr>
          <w:t>https://competition-policy.ec.europa.eu/state-aid/legislation/forms-notifications-and-reporting_en#evaluation-plan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3F8D"/>
    <w:multiLevelType w:val="hybridMultilevel"/>
    <w:tmpl w:val="B0C87366"/>
    <w:lvl w:ilvl="0" w:tplc="C8FCD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8B8"/>
    <w:multiLevelType w:val="multilevel"/>
    <w:tmpl w:val="E2FA46EA"/>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asciiTheme="minorHAnsi" w:hAnsiTheme="minorHAnsi" w:hint="default"/>
        <w:i w:val="0"/>
        <w:iCs/>
        <w:sz w:val="22"/>
        <w:szCs w:val="22"/>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asciiTheme="minorHAnsi" w:hAnsiTheme="minorHAnsi" w:hint="default"/>
        <w:sz w:val="22"/>
        <w:szCs w:val="22"/>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2" w15:restartNumberingAfterBreak="0">
    <w:nsid w:val="31CA4597"/>
    <w:multiLevelType w:val="hybridMultilevel"/>
    <w:tmpl w:val="E4C26AE2"/>
    <w:lvl w:ilvl="0" w:tplc="FFD8BC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3B7EFA"/>
    <w:multiLevelType w:val="multilevel"/>
    <w:tmpl w:val="08309E5A"/>
    <w:lvl w:ilvl="0">
      <w:start w:val="1"/>
      <w:numFmt w:val="decimal"/>
      <w:lvlRestart w:val="0"/>
      <w:lvlText w:val="%1."/>
      <w:lvlJc w:val="left"/>
      <w:pPr>
        <w:tabs>
          <w:tab w:val="num" w:pos="850"/>
        </w:tabs>
        <w:ind w:left="850" w:hanging="850"/>
      </w:pPr>
      <w:rPr>
        <w:rFonts w:asciiTheme="minorHAnsi" w:hAnsiTheme="minorHAnsi" w:cstheme="minorHAnsi" w:hint="default"/>
        <w:sz w:val="22"/>
        <w:szCs w:val="22"/>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rPr>
        <w:rFonts w:asciiTheme="minorHAnsi" w:hAnsiTheme="minorHAnsi" w:cstheme="minorHAnsi" w:hint="default"/>
        <w:sz w:val="22"/>
        <w:szCs w:val="22"/>
      </w:r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1187073"/>
    <w:multiLevelType w:val="hybridMultilevel"/>
    <w:tmpl w:val="7526D16A"/>
    <w:lvl w:ilvl="0" w:tplc="E8B281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8A20DD"/>
    <w:multiLevelType w:val="hybridMultilevel"/>
    <w:tmpl w:val="1136BFBC"/>
    <w:lvl w:ilvl="0" w:tplc="ED3CE028">
      <w:start w:val="1"/>
      <w:numFmt w:val="lowerRoman"/>
      <w:lvlText w:val="(%1)"/>
      <w:lvlJc w:val="left"/>
      <w:pPr>
        <w:ind w:left="3424" w:hanging="720"/>
      </w:pPr>
      <w:rPr>
        <w:rFonts w:hint="default"/>
      </w:rPr>
    </w:lvl>
    <w:lvl w:ilvl="1" w:tplc="04090019" w:tentative="1">
      <w:start w:val="1"/>
      <w:numFmt w:val="lowerLetter"/>
      <w:lvlText w:val="%2."/>
      <w:lvlJc w:val="left"/>
      <w:pPr>
        <w:ind w:left="3784" w:hanging="360"/>
      </w:pPr>
    </w:lvl>
    <w:lvl w:ilvl="2" w:tplc="0409001B" w:tentative="1">
      <w:start w:val="1"/>
      <w:numFmt w:val="lowerRoman"/>
      <w:lvlText w:val="%3."/>
      <w:lvlJc w:val="right"/>
      <w:pPr>
        <w:ind w:left="4504" w:hanging="180"/>
      </w:pPr>
    </w:lvl>
    <w:lvl w:ilvl="3" w:tplc="0409000F" w:tentative="1">
      <w:start w:val="1"/>
      <w:numFmt w:val="decimal"/>
      <w:lvlText w:val="%4."/>
      <w:lvlJc w:val="left"/>
      <w:pPr>
        <w:ind w:left="5224" w:hanging="360"/>
      </w:pPr>
    </w:lvl>
    <w:lvl w:ilvl="4" w:tplc="04090019" w:tentative="1">
      <w:start w:val="1"/>
      <w:numFmt w:val="lowerLetter"/>
      <w:lvlText w:val="%5."/>
      <w:lvlJc w:val="left"/>
      <w:pPr>
        <w:ind w:left="5944" w:hanging="360"/>
      </w:pPr>
    </w:lvl>
    <w:lvl w:ilvl="5" w:tplc="0409001B" w:tentative="1">
      <w:start w:val="1"/>
      <w:numFmt w:val="lowerRoman"/>
      <w:lvlText w:val="%6."/>
      <w:lvlJc w:val="right"/>
      <w:pPr>
        <w:ind w:left="6664" w:hanging="180"/>
      </w:pPr>
    </w:lvl>
    <w:lvl w:ilvl="6" w:tplc="0409000F" w:tentative="1">
      <w:start w:val="1"/>
      <w:numFmt w:val="decimal"/>
      <w:lvlText w:val="%7."/>
      <w:lvlJc w:val="left"/>
      <w:pPr>
        <w:ind w:left="7384" w:hanging="360"/>
      </w:pPr>
    </w:lvl>
    <w:lvl w:ilvl="7" w:tplc="04090019" w:tentative="1">
      <w:start w:val="1"/>
      <w:numFmt w:val="lowerLetter"/>
      <w:lvlText w:val="%8."/>
      <w:lvlJc w:val="left"/>
      <w:pPr>
        <w:ind w:left="8104" w:hanging="360"/>
      </w:pPr>
    </w:lvl>
    <w:lvl w:ilvl="8" w:tplc="0409001B" w:tentative="1">
      <w:start w:val="1"/>
      <w:numFmt w:val="lowerRoman"/>
      <w:lvlText w:val="%9."/>
      <w:lvlJc w:val="right"/>
      <w:pPr>
        <w:ind w:left="8824" w:hanging="180"/>
      </w:pPr>
    </w:lvl>
  </w:abstractNum>
  <w:abstractNum w:abstractNumId="6" w15:restartNumberingAfterBreak="0">
    <w:nsid w:val="6E1C0680"/>
    <w:multiLevelType w:val="multilevel"/>
    <w:tmpl w:val="B31240FE"/>
    <w:lvl w:ilvl="0">
      <w:start w:val="1"/>
      <w:numFmt w:val="decimal"/>
      <w:lvlRestart w:val="0"/>
      <w:lvlText w:val="%1."/>
      <w:lvlJc w:val="left"/>
      <w:pPr>
        <w:tabs>
          <w:tab w:val="num" w:pos="850"/>
        </w:tabs>
        <w:ind w:left="850" w:hanging="850"/>
      </w:pPr>
      <w:rPr>
        <w:rFonts w:asciiTheme="minorHAnsi" w:hAnsiTheme="minorHAnsi" w:cstheme="minorHAnsi" w:hint="default"/>
        <w:b w:val="0"/>
        <w:i w:val="0"/>
        <w:iCs w:val="0"/>
        <w:sz w:val="22"/>
        <w:szCs w:val="22"/>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417"/>
        </w:tabs>
        <w:ind w:left="1417" w:hanging="1417"/>
      </w:pPr>
      <w:rPr>
        <w:rFonts w:hint="default"/>
      </w:rPr>
    </w:lvl>
    <w:lvl w:ilvl="5">
      <w:start w:val="1"/>
      <w:numFmt w:val="decimal"/>
      <w:lvlText w:val="%1.%2.%3.%4.%5.%6."/>
      <w:lvlJc w:val="left"/>
      <w:pPr>
        <w:tabs>
          <w:tab w:val="num" w:pos="1417"/>
        </w:tabs>
        <w:ind w:left="1417" w:hanging="1417"/>
      </w:pPr>
      <w:rPr>
        <w:rFonts w:hint="default"/>
      </w:rPr>
    </w:lvl>
    <w:lvl w:ilvl="6">
      <w:start w:val="1"/>
      <w:numFmt w:val="decimal"/>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1"/>
  </w:num>
  <w:num w:numId="3">
    <w:abstractNumId w:val="2"/>
  </w:num>
  <w:num w:numId="4">
    <w:abstractNumId w:val="4"/>
  </w:num>
  <w:num w:numId="5">
    <w:abstractNumId w:val="5"/>
  </w:num>
  <w:num w:numId="6">
    <w:abstractNumId w:val="0"/>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AA"/>
    <w:rsid w:val="001E27D7"/>
    <w:rsid w:val="003279AA"/>
    <w:rsid w:val="0044429C"/>
    <w:rsid w:val="0047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3B824"/>
  <w15:chartTrackingRefBased/>
  <w15:docId w15:val="{2689BDD2-8E6C-4D9F-96AD-7527F95CD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29C"/>
  </w:style>
  <w:style w:type="paragraph" w:styleId="Heading1">
    <w:name w:val="heading 1"/>
    <w:basedOn w:val="Normal"/>
    <w:next w:val="Normal"/>
    <w:link w:val="Heading1Char"/>
    <w:qFormat/>
    <w:rsid w:val="0044429C"/>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44429C"/>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44429C"/>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44429C"/>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44429C"/>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44429C"/>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44429C"/>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429C"/>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44429C"/>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44429C"/>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44429C"/>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44429C"/>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44429C"/>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44429C"/>
    <w:rPr>
      <w:rFonts w:ascii="Calibri" w:eastAsia="Times New Roman" w:hAnsi="Calibri" w:cs="Times New Roman"/>
      <w:sz w:val="24"/>
      <w:szCs w:val="24"/>
      <w:lang w:val="en-GB"/>
    </w:rPr>
  </w:style>
  <w:style w:type="paragraph" w:styleId="FootnoteText">
    <w:name w:val="footnote text"/>
    <w:basedOn w:val="Normal"/>
    <w:link w:val="FootnoteTextChar"/>
    <w:unhideWhenUsed/>
    <w:rsid w:val="0044429C"/>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44429C"/>
    <w:rPr>
      <w:rFonts w:ascii="Times New Roman" w:eastAsia="Calibri" w:hAnsi="Times New Roman" w:cs="Times New Roman"/>
      <w:sz w:val="20"/>
      <w:szCs w:val="20"/>
      <w:lang w:val="x-none" w:eastAsia="x-non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44429C"/>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paragraph" w:customStyle="1" w:styleId="NumPar2">
    <w:name w:val="NumPar 2"/>
    <w:basedOn w:val="Normal"/>
    <w:next w:val="Normal"/>
    <w:rsid w:val="0044429C"/>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44429C"/>
    <w:rPr>
      <w:vertAlign w:val="superscript"/>
    </w:rPr>
  </w:style>
  <w:style w:type="paragraph" w:customStyle="1" w:styleId="SUPERSChar">
    <w:name w:val="SUPERS Char"/>
    <w:aliases w:val="EN Footnote Reference Char"/>
    <w:basedOn w:val="Normal"/>
    <w:link w:val="FootnoteReference"/>
    <w:rsid w:val="0044429C"/>
    <w:pPr>
      <w:spacing w:before="120" w:line="240" w:lineRule="exact"/>
      <w:ind w:left="720" w:hanging="720"/>
      <w:jc w:val="both"/>
    </w:pPr>
    <w:rPr>
      <w:vertAlign w:val="superscript"/>
    </w:rPr>
  </w:style>
  <w:style w:type="character" w:styleId="Hyperlink">
    <w:name w:val="Hyperlink"/>
    <w:uiPriority w:val="99"/>
    <w:rsid w:val="0044429C"/>
    <w:rPr>
      <w:color w:val="0000FF"/>
      <w:u w:val="single"/>
    </w:rPr>
  </w:style>
  <w:style w:type="paragraph" w:customStyle="1" w:styleId="Text1">
    <w:name w:val="Text 1"/>
    <w:basedOn w:val="Normal"/>
    <w:uiPriority w:val="99"/>
    <w:rsid w:val="0044429C"/>
    <w:pPr>
      <w:spacing w:before="120" w:after="240" w:line="240" w:lineRule="auto"/>
      <w:ind w:left="482" w:hanging="720"/>
      <w:jc w:val="both"/>
    </w:pPr>
    <w:rPr>
      <w:rFonts w:ascii="Times New Roman" w:eastAsia="Times New Roman" w:hAnsi="Times New Roman" w:cs="Times New Roman"/>
      <w:sz w:val="24"/>
      <w:szCs w:val="20"/>
      <w:lang w:val="hr-HR" w:eastAsia="hr-HR" w:bidi="hr-HR"/>
    </w:rPr>
  </w:style>
  <w:style w:type="table" w:styleId="TableGrid">
    <w:name w:val="Table Grid"/>
    <w:basedOn w:val="TableNormal"/>
    <w:uiPriority w:val="39"/>
    <w:rsid w:val="0044429C"/>
    <w:pPr>
      <w:spacing w:after="0" w:line="240" w:lineRule="auto"/>
    </w:pPr>
    <w:rPr>
      <w:rFonts w:ascii="Times New Roman" w:eastAsia="Calibri" w:hAnsi="Times New Roman" w:cs="Times New Roman"/>
      <w:sz w:val="20"/>
      <w:szCs w:val="20"/>
      <w:lang w:val="hr-HR" w:eastAsia="hr-HR" w:bidi="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44429C"/>
    <w:rPr>
      <w:rFonts w:ascii="Times New Roman" w:eastAsia="Calibri" w:hAnsi="Times New Roman" w:cs="Times New Roman"/>
      <w:sz w:val="24"/>
      <w:szCs w:val="20"/>
      <w:lang w:val="hr-HR" w:eastAsia="hr-HR" w:bidi="hr-HR"/>
    </w:rPr>
  </w:style>
  <w:style w:type="paragraph" w:customStyle="1" w:styleId="NumPar1">
    <w:name w:val="NumPar 1"/>
    <w:basedOn w:val="Normal"/>
    <w:next w:val="Normal"/>
    <w:rsid w:val="0044429C"/>
    <w:pPr>
      <w:tabs>
        <w:tab w:val="num" w:pos="2625"/>
      </w:tabs>
      <w:spacing w:before="120" w:after="120" w:line="240" w:lineRule="auto"/>
      <w:ind w:left="2625" w:hanging="709"/>
      <w:jc w:val="both"/>
    </w:pPr>
    <w:rPr>
      <w:rFonts w:ascii="Times New Roman" w:eastAsia="Calibri" w:hAnsi="Times New Roman" w:cs="Times New Roman"/>
      <w:sz w:val="24"/>
      <w:lang w:val="en-GB"/>
    </w:rPr>
  </w:style>
  <w:style w:type="paragraph" w:customStyle="1" w:styleId="Point0number">
    <w:name w:val="Point 0 (number)"/>
    <w:basedOn w:val="Normal"/>
    <w:rsid w:val="0044429C"/>
    <w:pPr>
      <w:spacing w:before="120" w:after="120" w:line="240" w:lineRule="auto"/>
      <w:jc w:val="both"/>
    </w:pPr>
    <w:rPr>
      <w:rFonts w:ascii="Times New Roman" w:hAnsi="Times New Roman" w:cs="Times New Roman"/>
      <w:sz w:val="24"/>
      <w:lang w:val="hr-HR"/>
    </w:rPr>
  </w:style>
  <w:style w:type="paragraph" w:customStyle="1" w:styleId="Point1number">
    <w:name w:val="Point 1 (number)"/>
    <w:basedOn w:val="Normal"/>
    <w:rsid w:val="0044429C"/>
    <w:pPr>
      <w:numPr>
        <w:ilvl w:val="2"/>
        <w:numId w:val="2"/>
      </w:numPr>
      <w:spacing w:before="120" w:after="120" w:line="240" w:lineRule="auto"/>
      <w:jc w:val="both"/>
    </w:pPr>
    <w:rPr>
      <w:rFonts w:ascii="Times New Roman" w:hAnsi="Times New Roman" w:cs="Times New Roman"/>
      <w:sz w:val="24"/>
      <w:lang w:val="hr-HR"/>
    </w:rPr>
  </w:style>
  <w:style w:type="paragraph" w:customStyle="1" w:styleId="Point2number">
    <w:name w:val="Point 2 (number)"/>
    <w:basedOn w:val="Normal"/>
    <w:rsid w:val="0044429C"/>
    <w:pPr>
      <w:numPr>
        <w:ilvl w:val="4"/>
        <w:numId w:val="2"/>
      </w:numPr>
      <w:spacing w:before="120" w:after="120" w:line="240" w:lineRule="auto"/>
      <w:jc w:val="both"/>
    </w:pPr>
    <w:rPr>
      <w:rFonts w:ascii="Times New Roman" w:hAnsi="Times New Roman" w:cs="Times New Roman"/>
      <w:sz w:val="24"/>
      <w:lang w:val="hr-HR"/>
    </w:rPr>
  </w:style>
  <w:style w:type="paragraph" w:customStyle="1" w:styleId="Point3number">
    <w:name w:val="Point 3 (number)"/>
    <w:basedOn w:val="Normal"/>
    <w:rsid w:val="0044429C"/>
    <w:pPr>
      <w:numPr>
        <w:ilvl w:val="6"/>
        <w:numId w:val="2"/>
      </w:numPr>
      <w:spacing w:before="120" w:after="120" w:line="240" w:lineRule="auto"/>
      <w:jc w:val="both"/>
    </w:pPr>
    <w:rPr>
      <w:rFonts w:ascii="Times New Roman" w:hAnsi="Times New Roman" w:cs="Times New Roman"/>
      <w:sz w:val="24"/>
      <w:lang w:val="hr-HR"/>
    </w:rPr>
  </w:style>
  <w:style w:type="paragraph" w:customStyle="1" w:styleId="Point0letter">
    <w:name w:val="Point 0 (letter)"/>
    <w:basedOn w:val="Normal"/>
    <w:rsid w:val="0044429C"/>
    <w:pPr>
      <w:spacing w:before="120" w:after="120" w:line="240" w:lineRule="auto"/>
      <w:jc w:val="both"/>
    </w:pPr>
    <w:rPr>
      <w:rFonts w:ascii="Times New Roman" w:hAnsi="Times New Roman" w:cs="Times New Roman"/>
      <w:sz w:val="24"/>
      <w:lang w:val="hr-HR"/>
    </w:rPr>
  </w:style>
  <w:style w:type="paragraph" w:customStyle="1" w:styleId="Point1letter">
    <w:name w:val="Point 1 (letter)"/>
    <w:basedOn w:val="Normal"/>
    <w:rsid w:val="0044429C"/>
    <w:pPr>
      <w:numPr>
        <w:ilvl w:val="3"/>
        <w:numId w:val="2"/>
      </w:numPr>
      <w:spacing w:before="120" w:after="120" w:line="240" w:lineRule="auto"/>
      <w:jc w:val="both"/>
    </w:pPr>
    <w:rPr>
      <w:rFonts w:ascii="Times New Roman" w:hAnsi="Times New Roman" w:cs="Times New Roman"/>
      <w:sz w:val="24"/>
      <w:lang w:val="hr-HR"/>
    </w:rPr>
  </w:style>
  <w:style w:type="paragraph" w:customStyle="1" w:styleId="Point2letter">
    <w:name w:val="Point 2 (letter)"/>
    <w:basedOn w:val="Normal"/>
    <w:rsid w:val="0044429C"/>
    <w:pPr>
      <w:numPr>
        <w:ilvl w:val="5"/>
        <w:numId w:val="2"/>
      </w:numPr>
      <w:spacing w:before="120" w:after="120" w:line="240" w:lineRule="auto"/>
      <w:jc w:val="both"/>
    </w:pPr>
    <w:rPr>
      <w:rFonts w:ascii="Times New Roman" w:hAnsi="Times New Roman" w:cs="Times New Roman"/>
      <w:sz w:val="24"/>
      <w:lang w:val="hr-HR"/>
    </w:rPr>
  </w:style>
  <w:style w:type="paragraph" w:customStyle="1" w:styleId="Point3letter">
    <w:name w:val="Point 3 (letter)"/>
    <w:basedOn w:val="Normal"/>
    <w:rsid w:val="0044429C"/>
    <w:pPr>
      <w:numPr>
        <w:ilvl w:val="7"/>
        <w:numId w:val="2"/>
      </w:numPr>
      <w:spacing w:before="120" w:after="120" w:line="240" w:lineRule="auto"/>
      <w:jc w:val="both"/>
    </w:pPr>
    <w:rPr>
      <w:rFonts w:ascii="Times New Roman" w:hAnsi="Times New Roman" w:cs="Times New Roman"/>
      <w:sz w:val="24"/>
      <w:lang w:val="hr-HR"/>
    </w:rPr>
  </w:style>
  <w:style w:type="paragraph" w:customStyle="1" w:styleId="Point4letter">
    <w:name w:val="Point 4 (letter)"/>
    <w:basedOn w:val="Normal"/>
    <w:rsid w:val="0044429C"/>
    <w:pPr>
      <w:numPr>
        <w:ilvl w:val="8"/>
        <w:numId w:val="2"/>
      </w:numPr>
      <w:spacing w:before="120" w:after="120" w:line="240" w:lineRule="auto"/>
      <w:jc w:val="both"/>
    </w:pPr>
    <w:rPr>
      <w:rFonts w:ascii="Times New Roman" w:hAnsi="Times New Roman" w:cs="Times New Roman"/>
      <w:sz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competition-policy.ec.europa.eu/state-aid/legislation/forms-notifications-and-reporting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4170</Words>
  <Characters>23774</Characters>
  <Application>Microsoft Office Word</Application>
  <DocSecurity>0</DocSecurity>
  <Lines>198</Lines>
  <Paragraphs>55</Paragraphs>
  <ScaleCrop>false</ScaleCrop>
  <Company/>
  <LinksUpToDate>false</LinksUpToDate>
  <CharactersWithSpaces>27889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2026-03-26T12:27:00Z</dcterms:created>
  <dcterms:modified xsi:type="dcterms:W3CDTF">2026-03-26T12:28:00Z</dcterms:modified>
</cp:coreProperties>
</file>