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93BD" w14:textId="77777777" w:rsidR="008844BB" w:rsidRPr="00BE3DBC" w:rsidRDefault="008844BB" w:rsidP="008844BB">
      <w:pPr>
        <w:spacing w:line="360" w:lineRule="auto"/>
        <w:jc w:val="both"/>
        <w:rPr>
          <w:rFonts w:cstheme="minorHAnsi"/>
          <w:b/>
          <w:lang w:val="it-IT"/>
        </w:rPr>
      </w:pPr>
      <w:r w:rsidRPr="00BE3DBC">
        <w:rPr>
          <w:rFonts w:cstheme="minorHAnsi"/>
          <w:b/>
          <w:lang w:val="it-IT"/>
        </w:rPr>
        <w:t>Obrazac 9e – Obrazac o dodatnim podacima</w:t>
      </w:r>
      <w:r>
        <w:rPr>
          <w:rFonts w:cstheme="minorHAnsi"/>
          <w:b/>
          <w:lang w:val="it-IT"/>
        </w:rPr>
        <w:t xml:space="preserve"> o pomoći za pomorski saobraćaj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844BB" w:rsidRPr="0086255B" w14:paraId="678FC35D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78978329" w14:textId="77777777" w:rsidR="008844BB" w:rsidRPr="0086255B" w:rsidRDefault="008844BB" w:rsidP="00D507D9">
            <w:pPr>
              <w:keepNext/>
              <w:keepLines/>
              <w:spacing w:before="120" w:after="120"/>
              <w:jc w:val="both"/>
              <w:outlineLvl w:val="1"/>
              <w:rPr>
                <w:rFonts w:eastAsia="Times New Roman" w:cstheme="minorHAnsi"/>
                <w:b/>
                <w:bCs/>
                <w:lang w:val="hr-HR" w:eastAsia="hr-HR" w:bidi="hr-HR"/>
              </w:rPr>
            </w:pPr>
            <w:r>
              <w:rPr>
                <w:rFonts w:cstheme="minorHAnsi"/>
                <w:lang w:val="it-IT"/>
              </w:rPr>
              <w:tab/>
            </w:r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 xml:space="preserve">Dio III.13.E. – </w:t>
            </w:r>
            <w:bookmarkStart w:id="0" w:name="_Hlk219881106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 xml:space="preserve">Obrazac o dodatnim podacima o pomoći za pomorski </w:t>
            </w:r>
            <w:bookmarkEnd w:id="0"/>
            <w:r>
              <w:rPr>
                <w:rFonts w:eastAsia="Times New Roman" w:cstheme="minorHAnsi"/>
                <w:b/>
                <w:bCs/>
                <w:lang w:val="hr-HR" w:eastAsia="hr-HR" w:bidi="hr-HR"/>
              </w:rPr>
              <w:t>saobraćaj</w:t>
            </w:r>
          </w:p>
        </w:tc>
      </w:tr>
    </w:tbl>
    <w:p w14:paraId="1146B036" w14:textId="77777777" w:rsidR="008844BB" w:rsidRPr="0086255B" w:rsidRDefault="008844BB" w:rsidP="008844BB">
      <w:pPr>
        <w:tabs>
          <w:tab w:val="left" w:pos="720"/>
          <w:tab w:val="left" w:pos="1077"/>
          <w:tab w:val="left" w:pos="1440"/>
          <w:tab w:val="left" w:pos="1797"/>
        </w:tabs>
        <w:jc w:val="both"/>
        <w:rPr>
          <w:rFonts w:cstheme="minorHAnsi"/>
          <w:i/>
          <w:lang w:val="hr-HR" w:eastAsia="hr-HR" w:bidi="hr-HR"/>
        </w:rPr>
      </w:pPr>
      <w:r w:rsidRPr="0086255B">
        <w:rPr>
          <w:rFonts w:cstheme="minorHAnsi"/>
          <w:i/>
          <w:lang w:val="hr-HR" w:eastAsia="hr-HR" w:bidi="hr-HR"/>
        </w:rPr>
        <w:t>Preporučuje se da se ovaj obrazac o dodatnim podacima ispuni kao dodatak obrascu „Opšti podaci“ iz dijela I, za prijavu bilo koje mjere obuhvaćene Smjernicama Zajednice o državnoj pomoći pomorskom trasnportu</w:t>
      </w:r>
      <w:r w:rsidRPr="0086255B">
        <w:rPr>
          <w:rStyle w:val="FootnoteReference"/>
          <w:rFonts w:cstheme="minorHAnsi"/>
          <w:i/>
        </w:rPr>
        <w:footnoteReference w:id="1"/>
      </w:r>
      <w:r w:rsidRPr="0086255B">
        <w:rPr>
          <w:rFonts w:cstheme="minorHAnsi"/>
          <w:i/>
          <w:lang w:val="hr-HR" w:eastAsia="hr-HR" w:bidi="hr-HR"/>
        </w:rPr>
        <w:t xml:space="preserve"> („Smjernice”).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844BB" w:rsidRPr="0086255B" w14:paraId="1B74D3C2" w14:textId="77777777" w:rsidTr="00D507D9">
        <w:trPr>
          <w:trHeight w:val="62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5FE2D0E5" w14:textId="77777777" w:rsidR="008844BB" w:rsidRPr="0086255B" w:rsidRDefault="008844BB" w:rsidP="008844BB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Podaci o vrsti šeme</w:t>
            </w:r>
          </w:p>
        </w:tc>
      </w:tr>
    </w:tbl>
    <w:p w14:paraId="6BEC88E6" w14:textId="77777777" w:rsidR="008844BB" w:rsidRPr="0086255B" w:rsidRDefault="008844BB" w:rsidP="008844BB">
      <w:pPr>
        <w:widowControl w:val="0"/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šema predstavlja ili uključuje sljedeće:</w:t>
      </w:r>
    </w:p>
    <w:p w14:paraId="6C4CCE12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BE3DBC">
        <w:rPr>
          <w:rFonts w:asciiTheme="minorHAnsi" w:eastAsia="Times New Roman" w:hAnsiTheme="minorHAnsi" w:cstheme="minorHAnsi"/>
          <w:sz w:val="22"/>
          <w:szCs w:val="22"/>
        </w:rPr>
        <w:t>oporezivanje po tonaži</w:t>
      </w:r>
    </w:p>
    <w:p w14:paraId="598A85BE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BE3DBC">
        <w:rPr>
          <w:rFonts w:asciiTheme="minorHAnsi" w:eastAsia="Times New Roman" w:hAnsiTheme="minorHAnsi" w:cstheme="minorHAnsi"/>
          <w:sz w:val="22"/>
          <w:szCs w:val="22"/>
        </w:rPr>
        <w:t>smanjenje doprinosa za socijalno osiguranje</w:t>
      </w:r>
    </w:p>
    <w:p w14:paraId="3239B7F2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BE3DBC">
        <w:rPr>
          <w:rFonts w:asciiTheme="minorHAnsi" w:eastAsia="Times New Roman" w:hAnsiTheme="minorHAnsi" w:cstheme="minorHAnsi"/>
          <w:sz w:val="22"/>
          <w:szCs w:val="22"/>
        </w:rPr>
        <w:t>smanjenje lokalnih poreza</w:t>
      </w:r>
    </w:p>
    <w:p w14:paraId="6B52844C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sz w:val="22"/>
          <w:szCs w:val="22"/>
        </w:rPr>
      </w:r>
      <w:r>
        <w:rPr>
          <w:rFonts w:asciiTheme="minorHAnsi" w:eastAsia="Times New Roman" w:hAnsiTheme="minorHAnsi" w:cstheme="minorHAnsi"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t xml:space="preserve"> smanjenje taksi za registraciju</w:t>
      </w:r>
    </w:p>
    <w:p w14:paraId="57AA3917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sz w:val="22"/>
          <w:szCs w:val="22"/>
        </w:rPr>
      </w:r>
      <w:r>
        <w:rPr>
          <w:rFonts w:asciiTheme="minorHAnsi" w:eastAsia="Times New Roman" w:hAnsiTheme="minorHAnsi" w:cstheme="minorHAnsi"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t xml:space="preserve"> pomoć za usavršavanje</w:t>
      </w:r>
    </w:p>
    <w:p w14:paraId="385D0D55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sz w:val="22"/>
          <w:szCs w:val="22"/>
        </w:rPr>
      </w:r>
      <w:r>
        <w:rPr>
          <w:rFonts w:asciiTheme="minorHAnsi" w:eastAsia="Times New Roman" w:hAnsiTheme="minorHAnsi" w:cstheme="minorHAnsi"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t xml:space="preserve"> pomoć za transfer kamiona sa puteva na pomorske puteve</w:t>
      </w:r>
    </w:p>
    <w:p w14:paraId="64D557E2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sz w:val="22"/>
          <w:szCs w:val="22"/>
        </w:rPr>
      </w:r>
      <w:r>
        <w:rPr>
          <w:rFonts w:asciiTheme="minorHAnsi" w:eastAsia="Times New Roman" w:hAnsiTheme="minorHAnsi" w:cstheme="minorHAnsi"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t xml:space="preserve"> ugovor o javnim uslugama ili procedura za dodjelu takvog ugovora</w:t>
      </w:r>
    </w:p>
    <w:p w14:paraId="6799696B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sz w:val="22"/>
          <w:szCs w:val="22"/>
        </w:rPr>
      </w:r>
      <w:r>
        <w:rPr>
          <w:rFonts w:asciiTheme="minorHAnsi" w:eastAsia="Times New Roman" w:hAnsiTheme="minorHAnsi" w:cstheme="minorHAnsi"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t xml:space="preserve"> pomoć socijalnog karaktera</w:t>
      </w:r>
    </w:p>
    <w:p w14:paraId="036E126E" w14:textId="77777777" w:rsidR="008844BB" w:rsidRPr="00BE3DBC" w:rsidRDefault="008844BB" w:rsidP="008844B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eastAsia="Times New Roman" w:cstheme="minorHAnsi"/>
        </w:rPr>
      </w:pP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DBC">
        <w:rPr>
          <w:rFonts w:asciiTheme="minorHAnsi" w:eastAsia="Times New Roman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eastAsia="Times New Roman" w:hAnsiTheme="minorHAnsi" w:cstheme="minorHAnsi"/>
          <w:sz w:val="22"/>
          <w:szCs w:val="22"/>
        </w:rPr>
      </w:r>
      <w:r>
        <w:rPr>
          <w:rFonts w:asciiTheme="minorHAnsi" w:eastAsia="Times New Roman" w:hAnsiTheme="minorHAnsi" w:cstheme="minorHAnsi"/>
          <w:sz w:val="22"/>
          <w:szCs w:val="22"/>
        </w:rPr>
        <w:fldChar w:fldCharType="separate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BE3DBC">
        <w:rPr>
          <w:rFonts w:asciiTheme="minorHAnsi" w:eastAsia="Times New Roman" w:hAnsiTheme="minorHAnsi" w:cstheme="minorHAnsi"/>
          <w:sz w:val="22"/>
          <w:szCs w:val="22"/>
        </w:rPr>
        <w:t xml:space="preserve"> ostalo, navedite pojedinosti:</w:t>
      </w:r>
    </w:p>
    <w:p w14:paraId="30C5B04C" w14:textId="77777777" w:rsidR="008844BB" w:rsidRPr="0086255B" w:rsidRDefault="008844BB" w:rsidP="008844BB">
      <w:pPr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844BB" w:rsidRPr="0086255B" w14:paraId="17FC5F27" w14:textId="77777777" w:rsidTr="00D507D9">
        <w:trPr>
          <w:trHeight w:val="61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2B091F24" w14:textId="77777777" w:rsidR="008844BB" w:rsidRPr="0086255B" w:rsidRDefault="008844BB" w:rsidP="008844BB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Podaci o prihvatljivosti</w:t>
            </w:r>
          </w:p>
        </w:tc>
      </w:tr>
    </w:tbl>
    <w:p w14:paraId="47DB220D" w14:textId="77777777" w:rsidR="008844BB" w:rsidRPr="0086255B" w:rsidRDefault="008844BB" w:rsidP="008844BB">
      <w:pPr>
        <w:widowControl w:val="0"/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Za kategorije (a)</w:t>
      </w:r>
      <w:r>
        <w:rPr>
          <w:rFonts w:cstheme="minorHAnsi"/>
          <w:lang w:val="hr-HR" w:eastAsia="hr-HR" w:bidi="hr-HR"/>
        </w:rPr>
        <w:t>, (b), (c), (d), (e) i (f) iz tačke 1</w:t>
      </w:r>
      <w:r w:rsidRPr="0086255B">
        <w:rPr>
          <w:rFonts w:cstheme="minorHAnsi"/>
          <w:lang w:val="hr-HR" w:eastAsia="hr-HR" w:bidi="hr-HR"/>
        </w:rPr>
        <w:t xml:space="preserve"> odgovorite na pitanja od 2.2. do 2.7.:</w:t>
      </w:r>
    </w:p>
    <w:p w14:paraId="3CB6201E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0"/>
        </w:tabs>
        <w:spacing w:before="120" w:after="120" w:line="240" w:lineRule="auto"/>
        <w:ind w:left="360" w:hanging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Koji su kriterijumi prihvatljivosti za kompanije?</w:t>
      </w:r>
    </w:p>
    <w:p w14:paraId="31FAFF1C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05199158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40E98AFA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0"/>
        </w:tabs>
        <w:spacing w:before="120" w:after="120" w:line="240" w:lineRule="auto"/>
        <w:ind w:left="360" w:hanging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Koji su kriterijumi prihvatljivosti za brodove? Konkretno, da li postoji obaveza u vezi sa zastavom? Koje su obaveze u vezi sa zastavom za flotu kompanija koje ulaze u šemu oporezivanja po tonaži nakon 17. januara 2004. godine? Da li se obaveze u vezi sa zastavom primjenjuju na cijelu flotu kompanije korisnika pomoći ili samo na njenu sopstvenu flotu i flotu koja je iznajmljena na osnovu ugovora o zakupu broda bez posade </w:t>
      </w:r>
      <w:r w:rsidRPr="0086255B">
        <w:rPr>
          <w:rFonts w:cstheme="minorHAnsi"/>
          <w:i/>
          <w:shd w:val="clear" w:color="auto" w:fill="FFFFFF"/>
          <w:lang w:val="hr-HR" w:eastAsia="hr-HR" w:bidi="hr-HR"/>
        </w:rPr>
        <w:t>(bare-boat)?</w:t>
      </w:r>
    </w:p>
    <w:p w14:paraId="5A856087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49D4EE5D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lastRenderedPageBreak/>
        <w:tab/>
      </w:r>
    </w:p>
    <w:p w14:paraId="08C93F07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0"/>
        </w:tabs>
        <w:spacing w:before="120" w:after="120" w:line="240" w:lineRule="auto"/>
        <w:ind w:left="360" w:hanging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Koji su uslovi prihvatljivosti za flotu koja je iznajmljena na osnovu ugovora o zakupu broda bez posade </w:t>
      </w:r>
      <w:r w:rsidRPr="0086255B">
        <w:rPr>
          <w:rFonts w:cstheme="minorHAnsi"/>
          <w:i/>
          <w:shd w:val="clear" w:color="auto" w:fill="FFFFFF"/>
          <w:lang w:val="hr-HR" w:eastAsia="hr-HR" w:bidi="hr-HR"/>
        </w:rPr>
        <w:t>(bare-boat)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? </w:t>
      </w:r>
    </w:p>
    <w:p w14:paraId="2B83AFD5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75FD525F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124DF81B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0"/>
        </w:tabs>
        <w:spacing w:before="120" w:after="120" w:line="240" w:lineRule="auto"/>
        <w:ind w:left="360" w:hanging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Koji su uslovi prihvatljivosti za flotu koja je iznajmljena na određeno vrijeme ili za određeno putovanje?</w:t>
      </w:r>
    </w:p>
    <w:p w14:paraId="5433E55F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65F344E0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40A63DA3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0"/>
        </w:tabs>
        <w:spacing w:before="120" w:after="120" w:line="240" w:lineRule="auto"/>
        <w:ind w:left="0" w:firstLine="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Gdje je to relevantno, koji su kriterijumi prihvatljivosti za pomorce?</w:t>
      </w:r>
    </w:p>
    <w:p w14:paraId="44975E25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7E0399AA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6B2B01FF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4"/>
          <w:tab w:val="left" w:pos="3509"/>
        </w:tabs>
        <w:spacing w:before="120" w:after="120" w:line="240" w:lineRule="auto"/>
        <w:ind w:left="0" w:right="567" w:firstLine="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Navedite popis prihvatljivih aktivnosti. Konkretno, odnosi li se režim na: </w:t>
      </w:r>
    </w:p>
    <w:p w14:paraId="6BF87B8F" w14:textId="77777777" w:rsidR="008844BB" w:rsidRPr="0086255B" w:rsidRDefault="008844BB" w:rsidP="008844BB">
      <w:pPr>
        <w:widowControl w:val="0"/>
        <w:tabs>
          <w:tab w:val="left" w:pos="614"/>
          <w:tab w:val="left" w:pos="3509"/>
        </w:tabs>
        <w:spacing w:before="100" w:beforeAutospacing="1" w:after="100" w:afterAutospacing="1"/>
        <w:ind w:left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</w:t>
      </w:r>
      <w:r w:rsidRPr="0086255B">
        <w:rPr>
          <w:rFonts w:cstheme="minorHAnsi"/>
          <w:shd w:val="clear" w:color="auto" w:fill="FFFFFF"/>
          <w:lang w:val="hr-HR" w:eastAsia="hr-HR" w:bidi="hr-HR"/>
        </w:rPr>
        <w:t>aktivnosti tegljenja?</w:t>
      </w:r>
      <w:r w:rsidRPr="0086255B">
        <w:rPr>
          <w:rFonts w:cstheme="minorHAnsi"/>
          <w:lang w:val="hr-HR" w:eastAsia="hr-HR" w:bidi="hr-HR"/>
        </w:rPr>
        <w:tab/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aktivnosti bagerovanja?</w:t>
      </w:r>
    </w:p>
    <w:p w14:paraId="36A91AC1" w14:textId="77777777" w:rsidR="008844BB" w:rsidRPr="0086255B" w:rsidRDefault="008844BB" w:rsidP="008844BB">
      <w:pPr>
        <w:widowControl w:val="0"/>
        <w:tabs>
          <w:tab w:val="left" w:pos="614"/>
          <w:tab w:val="left" w:pos="3509"/>
        </w:tabs>
        <w:ind w:right="-23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Uopšteno, da li su</w:t>
      </w:r>
      <w:r>
        <w:rPr>
          <w:rFonts w:cstheme="minorHAnsi"/>
          <w:lang w:val="hr-HR" w:eastAsia="hr-HR" w:bidi="hr-HR"/>
        </w:rPr>
        <w:t xml:space="preserve"> šemom pomoći, osim pomorskog transporta</w:t>
      </w:r>
      <w:r w:rsidRPr="0086255B">
        <w:rPr>
          <w:rFonts w:cstheme="minorHAnsi"/>
          <w:lang w:val="hr-HR" w:eastAsia="hr-HR" w:bidi="hr-HR"/>
        </w:rPr>
        <w:t xml:space="preserve"> robe i putnika, obuhvaćene ostale pomorske aktivnosti?</w:t>
      </w:r>
    </w:p>
    <w:p w14:paraId="1074370E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  <w:r w:rsidRPr="0086255B">
        <w:rPr>
          <w:rFonts w:cstheme="minorHAnsi"/>
          <w:lang w:val="hr-HR" w:eastAsia="hr-HR" w:bidi="hr-HR"/>
        </w:rPr>
        <w:tab/>
      </w:r>
      <w:r w:rsidRPr="0086255B">
        <w:rPr>
          <w:rFonts w:cstheme="minorHAnsi"/>
          <w:lang w:val="hr-HR" w:eastAsia="hr-HR" w:bidi="hr-HR"/>
        </w:rPr>
        <w:tab/>
      </w:r>
    </w:p>
    <w:p w14:paraId="5570DEDD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6622A8C3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0"/>
        </w:tabs>
        <w:spacing w:before="120" w:after="120" w:line="240" w:lineRule="auto"/>
        <w:ind w:left="396" w:hanging="396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Koje su mjere razgraničavanja aktivnosti preduzete kako bi se izbjeglo prelivanje na ostale aktivnosti iste kompanije?</w:t>
      </w:r>
    </w:p>
    <w:p w14:paraId="5AB130EE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5AAF1079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0917CF06" w14:textId="77777777" w:rsidR="008844BB" w:rsidRPr="0086255B" w:rsidRDefault="008844BB" w:rsidP="008844BB">
      <w:pPr>
        <w:widowControl w:val="0"/>
        <w:tabs>
          <w:tab w:val="left" w:pos="610"/>
        </w:tabs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Za kategoriju (g) iz tačke 1:</w:t>
      </w:r>
    </w:p>
    <w:p w14:paraId="716DBD38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4"/>
        </w:tabs>
        <w:spacing w:before="120" w:after="120" w:line="240" w:lineRule="auto"/>
        <w:ind w:left="396" w:hanging="396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Koje su obaveze javnih usluga, metod za obračun kompenzacije, različite ponude dostavljene na tenderu kao i razlozi za izbor određene kompanije?</w:t>
      </w:r>
    </w:p>
    <w:p w14:paraId="1A00F559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31D10F4E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3C44F11D" w14:textId="77777777" w:rsidR="008844BB" w:rsidRPr="0086255B" w:rsidRDefault="008844BB" w:rsidP="008844BB">
      <w:pPr>
        <w:keepNext/>
        <w:keepLines/>
        <w:widowControl w:val="0"/>
        <w:tabs>
          <w:tab w:val="left" w:pos="614"/>
        </w:tabs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lastRenderedPageBreak/>
        <w:t xml:space="preserve">Za kategoriju (h) iz tačke 1: </w:t>
      </w:r>
    </w:p>
    <w:p w14:paraId="3BE2ADD7" w14:textId="77777777" w:rsidR="008844BB" w:rsidRPr="0086255B" w:rsidRDefault="008844BB" w:rsidP="008844BB">
      <w:pPr>
        <w:widowControl w:val="0"/>
        <w:numPr>
          <w:ilvl w:val="5"/>
          <w:numId w:val="1"/>
        </w:numPr>
        <w:tabs>
          <w:tab w:val="left" w:pos="614"/>
          <w:tab w:val="left" w:pos="3509"/>
        </w:tabs>
        <w:spacing w:before="120" w:after="120" w:line="240" w:lineRule="auto"/>
        <w:ind w:left="396" w:hanging="396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Koje su predmetne linije u pitanju, predmetne populacije korisnika i uslovi povezani sa dodjelom individualne pomoći?</w:t>
      </w:r>
    </w:p>
    <w:p w14:paraId="0233F5D0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1E69E4D6" w14:textId="77777777" w:rsidR="008844BB" w:rsidRPr="00AF2536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>
        <w:rPr>
          <w:rFonts w:cstheme="minorHAnsi"/>
          <w:lang w:val="hr-HR" w:eastAsia="hr-HR" w:bidi="hr-HR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844BB" w:rsidRPr="0086255B" w14:paraId="4C6D66BB" w14:textId="77777777" w:rsidTr="00D507D9">
        <w:trPr>
          <w:trHeight w:val="59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5F7CA907" w14:textId="77777777" w:rsidR="008844BB" w:rsidRPr="0086255B" w:rsidRDefault="008844BB" w:rsidP="008844BB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Podaci o intenzitetu pomoći</w:t>
            </w:r>
          </w:p>
        </w:tc>
      </w:tr>
    </w:tbl>
    <w:p w14:paraId="1C0AF112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360" w:hanging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Koji su mehanizmi uspostavljeni kako bi se osiguralo poštovanje gornje granice pomoći određene u poglavlju 11 Smjernica? Kako se vodi relevantna evidencija?</w:t>
      </w:r>
    </w:p>
    <w:p w14:paraId="6ACF10E9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24C89E87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3F765977" w14:textId="77777777" w:rsidR="008844BB" w:rsidRPr="0086255B" w:rsidRDefault="008844BB" w:rsidP="008844BB">
      <w:pPr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Za kategoriju (a) iz tačke 1 odgovorite na pitanja od 3.2 do 3.7:</w:t>
      </w:r>
    </w:p>
    <w:p w14:paraId="3A52FB74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Koje se stope upotrebljavaju za obračun oporezive dobiti na 100 neto tona (NT)?</w:t>
      </w:r>
    </w:p>
    <w:p w14:paraId="1C856716" w14:textId="77777777" w:rsidR="008844BB" w:rsidRPr="0086255B" w:rsidRDefault="008844BB" w:rsidP="008844BB">
      <w:pPr>
        <w:widowControl w:val="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do 1000 NT …………………………………………………………………………….........</w:t>
      </w:r>
    </w:p>
    <w:p w14:paraId="44D07795" w14:textId="77777777" w:rsidR="008844BB" w:rsidRPr="0086255B" w:rsidRDefault="008844BB" w:rsidP="008844BB">
      <w:pPr>
        <w:widowControl w:val="0"/>
        <w:tabs>
          <w:tab w:val="left" w:pos="9072"/>
        </w:tabs>
        <w:ind w:right="-2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od 1 001 do 10 000 NT………………………………………………………………...…</w:t>
      </w:r>
    </w:p>
    <w:p w14:paraId="0C8858A3" w14:textId="77777777" w:rsidR="008844BB" w:rsidRPr="0086255B" w:rsidRDefault="008844BB" w:rsidP="008844BB">
      <w:pPr>
        <w:widowControl w:val="0"/>
        <w:ind w:right="-2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od 10 001 od 20 000 NT ………………………………………………………………...</w:t>
      </w:r>
    </w:p>
    <w:p w14:paraId="65BD1FF5" w14:textId="77777777" w:rsidR="008844BB" w:rsidRPr="00AF2536" w:rsidRDefault="008844BB" w:rsidP="008844BB">
      <w:pPr>
        <w:widowControl w:val="0"/>
        <w:tabs>
          <w:tab w:val="left" w:pos="9072"/>
        </w:tabs>
        <w:ind w:right="-2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više od 20 001 NT…</w:t>
      </w:r>
      <w:r>
        <w:rPr>
          <w:rFonts w:cstheme="minorHAnsi"/>
          <w:shd w:val="clear" w:color="auto" w:fill="FFFFFF"/>
          <w:lang w:val="hr-HR" w:eastAsia="hr-HR" w:bidi="hr-HR"/>
        </w:rPr>
        <w:t>…………………………………………………………………….....</w:t>
      </w:r>
    </w:p>
    <w:p w14:paraId="237FE36E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360" w:hanging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Da li su kompanije obavezne da vode odvojeno računovodstvo ako se bave aktivnostima koje su prihvatljive i koje nisu prihvatljive za pomoć?</w:t>
      </w:r>
    </w:p>
    <w:p w14:paraId="7C44BC3D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73F662B9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4E364912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360" w:hanging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Kako se postupa sa grupama kompanija i transakcijama unutar grupe?</w:t>
      </w:r>
    </w:p>
    <w:p w14:paraId="139E06BE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30755A47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21151290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U kojoj su mjeri prihodi od pomoćnih aktivnosti obuhvaćeni šemom oporezivanja po tonaži?</w:t>
      </w:r>
    </w:p>
    <w:p w14:paraId="4075DDB4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04C70F7F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63AA2B17" w14:textId="77777777" w:rsidR="008844BB" w:rsidRPr="0086255B" w:rsidRDefault="008844BB" w:rsidP="008844BB">
      <w:pPr>
        <w:keepNext/>
        <w:keepLines/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360" w:hanging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lastRenderedPageBreak/>
        <w:t>Da li postoje posebni poreski propisi za oporezivanje brodova koji ulaze u šemu oporezivanja po tonaži u situaciji kada je njihova tržišna vrijednost veća od njihove poreske vrijednosti?</w:t>
      </w:r>
    </w:p>
    <w:p w14:paraId="1243F4CA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54129E48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694F1322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360" w:hanging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Da li se na naknade direktora i akcionara brodarskih kompanija primjenjuje uobičajeni nivo poreza u skladu sa opštim poreskim propisima države članice?</w:t>
      </w:r>
    </w:p>
    <w:p w14:paraId="199DFD89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5D141FC0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6812DE51" w14:textId="77777777" w:rsidR="008844BB" w:rsidRPr="0086255B" w:rsidRDefault="008844BB" w:rsidP="008844BB">
      <w:pPr>
        <w:widowControl w:val="0"/>
        <w:tabs>
          <w:tab w:val="left" w:pos="610"/>
        </w:tabs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Za kategorije (b) (c) i (d) iz tačke 1 odgovorite na pitanja od 3.8. do 3.10.:</w:t>
      </w:r>
    </w:p>
    <w:p w14:paraId="36E7B3E6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360" w:hanging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Koliki je intenzitet pomoći kao procenat doprinosa za socijalno osiguranje / fiskalnih doprinosa odnosno poreza ili taksi koje bi pomoraci ili vlasnici broda inače plaćali? </w:t>
      </w:r>
    </w:p>
    <w:p w14:paraId="71ED5CA9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3A08C4FE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7D7A1904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360" w:hanging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Ili u kojoj mjeri su u apsolutnom iznosu ti doprinosi, takse ili porezi iz tačke 3.8 ograničeni?</w:t>
      </w:r>
    </w:p>
    <w:p w14:paraId="501E9900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40E07A3A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7EBDEC1E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720" w:hanging="7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U slučaju bagera i tegljača, da li je pomoć strogo ograničena na dio aktivnosti koji</w:t>
      </w:r>
      <w:r>
        <w:rPr>
          <w:rFonts w:cstheme="minorHAnsi"/>
          <w:shd w:val="clear" w:color="auto" w:fill="FFFFFF"/>
          <w:lang w:val="hr-HR" w:eastAsia="hr-HR" w:bidi="hr-HR"/>
        </w:rPr>
        <w:t xml:space="preserve"> se odnosi na pomorski saobraćaj</w:t>
      </w:r>
      <w:r w:rsidRPr="0086255B">
        <w:rPr>
          <w:rFonts w:cstheme="minorHAnsi"/>
          <w:shd w:val="clear" w:color="auto" w:fill="FFFFFF"/>
          <w:lang w:val="hr-HR" w:eastAsia="hr-HR" w:bidi="hr-HR"/>
        </w:rPr>
        <w:t>?</w:t>
      </w:r>
    </w:p>
    <w:p w14:paraId="57182E10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55ABFCB2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420A0D2F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720" w:hanging="7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Za kategoriju (e) iz tačke 1: koliki je intenzitet pomoći u smislu troškova usavršavanja ili zarade pripravnika?</w:t>
      </w:r>
    </w:p>
    <w:p w14:paraId="16A899B8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5D1DF2EC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60FD21B9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720" w:hanging="7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Za kategoriju (f) iz tačke 1: koliki je iznos pomoći po toni i kilometru transfera?</w:t>
      </w:r>
    </w:p>
    <w:p w14:paraId="6A0395D0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26974413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141B5BE1" w14:textId="77777777" w:rsidR="008844BB" w:rsidRPr="0086255B" w:rsidRDefault="008844BB" w:rsidP="008844BB">
      <w:pPr>
        <w:widowControl w:val="0"/>
        <w:numPr>
          <w:ilvl w:val="2"/>
          <w:numId w:val="2"/>
        </w:numPr>
        <w:tabs>
          <w:tab w:val="clear" w:pos="605"/>
        </w:tabs>
        <w:spacing w:before="120" w:after="120" w:line="240" w:lineRule="auto"/>
        <w:ind w:left="720" w:hanging="7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Za kategoriju (h) iz tačke 1: koliki je iznos individualne pomoći?</w:t>
      </w:r>
    </w:p>
    <w:p w14:paraId="78A08B72" w14:textId="77777777" w:rsidR="008844BB" w:rsidRPr="0086255B" w:rsidRDefault="008844BB" w:rsidP="008844BB">
      <w:pPr>
        <w:tabs>
          <w:tab w:val="left" w:leader="dot" w:pos="9072"/>
        </w:tabs>
        <w:spacing w:line="360" w:lineRule="auto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lastRenderedPageBreak/>
        <w:tab/>
      </w:r>
    </w:p>
    <w:p w14:paraId="0AB8C190" w14:textId="421283E8" w:rsidR="001E27D7" w:rsidRDefault="008844BB" w:rsidP="008844BB">
      <w:r w:rsidRPr="0086255B">
        <w:rPr>
          <w:rFonts w:cstheme="minorHAnsi"/>
          <w:lang w:val="hr-HR" w:eastAsia="hr-HR" w:bidi="hr-HR"/>
        </w:rPr>
        <w:tab/>
      </w:r>
      <w:bookmarkStart w:id="1" w:name="_GoBack"/>
      <w:bookmarkEnd w:id="1"/>
    </w:p>
    <w:sectPr w:rsidR="001E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DE377" w14:textId="77777777" w:rsidR="002C1BDF" w:rsidRDefault="002C1BDF" w:rsidP="008844BB">
      <w:pPr>
        <w:spacing w:after="0" w:line="240" w:lineRule="auto"/>
      </w:pPr>
      <w:r>
        <w:separator/>
      </w:r>
    </w:p>
  </w:endnote>
  <w:endnote w:type="continuationSeparator" w:id="0">
    <w:p w14:paraId="00F3FC0F" w14:textId="77777777" w:rsidR="002C1BDF" w:rsidRDefault="002C1BDF" w:rsidP="0088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1DC6B" w14:textId="77777777" w:rsidR="002C1BDF" w:rsidRDefault="002C1BDF" w:rsidP="008844BB">
      <w:pPr>
        <w:spacing w:after="0" w:line="240" w:lineRule="auto"/>
      </w:pPr>
      <w:r>
        <w:separator/>
      </w:r>
    </w:p>
  </w:footnote>
  <w:footnote w:type="continuationSeparator" w:id="0">
    <w:p w14:paraId="7503504D" w14:textId="77777777" w:rsidR="002C1BDF" w:rsidRDefault="002C1BDF" w:rsidP="008844BB">
      <w:pPr>
        <w:spacing w:after="0" w:line="240" w:lineRule="auto"/>
      </w:pPr>
      <w:r>
        <w:continuationSeparator/>
      </w:r>
    </w:p>
  </w:footnote>
  <w:footnote w:id="1">
    <w:p w14:paraId="5B5B3FE9" w14:textId="77777777" w:rsidR="008844BB" w:rsidRPr="003F16B2" w:rsidRDefault="008844BB" w:rsidP="008844BB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F16B2">
        <w:rPr>
          <w:rStyle w:val="FootnoteReference"/>
          <w:rFonts w:ascii="Calibri" w:hAnsi="Calibri" w:cs="Calibri"/>
        </w:rPr>
        <w:footnoteRef/>
      </w:r>
      <w:r w:rsidRPr="003F16B2">
        <w:rPr>
          <w:rFonts w:ascii="Calibri" w:hAnsi="Calibri" w:cs="Calibri"/>
        </w:rPr>
        <w:t xml:space="preserve"> </w:t>
      </w:r>
      <w:proofErr w:type="spellStart"/>
      <w:r w:rsidRPr="003F16B2">
        <w:rPr>
          <w:rFonts w:ascii="Calibri" w:hAnsi="Calibri" w:cs="Calibri"/>
        </w:rPr>
        <w:t>Smjernice</w:t>
      </w:r>
      <w:proofErr w:type="spellEnd"/>
      <w:r w:rsidRPr="003F16B2">
        <w:rPr>
          <w:rFonts w:ascii="Calibri" w:hAnsi="Calibri" w:cs="Calibri"/>
        </w:rPr>
        <w:t xml:space="preserve"> </w:t>
      </w:r>
      <w:proofErr w:type="spellStart"/>
      <w:r w:rsidRPr="003F16B2">
        <w:rPr>
          <w:rFonts w:ascii="Calibri" w:hAnsi="Calibri" w:cs="Calibri"/>
        </w:rPr>
        <w:t>Zajednice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državnoj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pomoći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pomorski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saobraćaj</w:t>
      </w:r>
      <w:proofErr w:type="spellEnd"/>
      <w:r w:rsidRPr="003F16B2">
        <w:rPr>
          <w:rFonts w:ascii="Calibri" w:hAnsi="Calibri" w:cs="Calibri"/>
        </w:rPr>
        <w:t xml:space="preserve"> (SL C 13, 17.1.2004., str. 3.).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DA9"/>
    <w:multiLevelType w:val="multilevel"/>
    <w:tmpl w:val="74E01E7E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en-US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suff w:val="space"/>
      <w:lvlText w:val="%5.%6."/>
      <w:lvlJc w:val="left"/>
      <w:pPr>
        <w:ind w:left="794" w:hanging="437"/>
      </w:pPr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1B79AF"/>
    <w:multiLevelType w:val="hybridMultilevel"/>
    <w:tmpl w:val="BA62E4FA"/>
    <w:lvl w:ilvl="0" w:tplc="E576A43E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B30DA"/>
    <w:multiLevelType w:val="multilevel"/>
    <w:tmpl w:val="3932C2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1800AD"/>
    <w:multiLevelType w:val="multilevel"/>
    <w:tmpl w:val="613E0AA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.%3."/>
      <w:lvlJc w:val="left"/>
      <w:pPr>
        <w:tabs>
          <w:tab w:val="num" w:pos="605"/>
        </w:tabs>
        <w:ind w:left="0" w:firstLine="0"/>
      </w:pPr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53"/>
    <w:rsid w:val="001E27D7"/>
    <w:rsid w:val="002C1BDF"/>
    <w:rsid w:val="008844BB"/>
    <w:rsid w:val="00E5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6A2D5-2693-4880-A49F-6AE1EE8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8844BB"/>
    <w:pPr>
      <w:spacing w:before="120" w:after="8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844B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al"/>
    <w:link w:val="ListParagraphChar"/>
    <w:uiPriority w:val="34"/>
    <w:qFormat/>
    <w:rsid w:val="008844BB"/>
    <w:pPr>
      <w:spacing w:before="120" w:after="0" w:line="240" w:lineRule="auto"/>
      <w:ind w:left="720" w:hanging="720"/>
      <w:contextualSpacing/>
      <w:jc w:val="both"/>
    </w:pPr>
    <w:rPr>
      <w:rFonts w:ascii="Times New Roman" w:eastAsia="Calibri" w:hAnsi="Times New Roman" w:cs="Times New Roman"/>
      <w:sz w:val="24"/>
      <w:szCs w:val="20"/>
      <w:lang w:val="hr-HR" w:eastAsia="hr-HR" w:bidi="hr-HR"/>
    </w:rPr>
  </w:style>
  <w:style w:type="character" w:styleId="FootnoteReference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 Char, Char1,F"/>
    <w:link w:val="SUPERSChar"/>
    <w:rsid w:val="008844BB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8844BB"/>
    <w:pPr>
      <w:spacing w:before="120" w:line="240" w:lineRule="exact"/>
      <w:ind w:left="720" w:hanging="720"/>
      <w:jc w:val="both"/>
    </w:pPr>
    <w:rPr>
      <w:vertAlign w:val="superscript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ListParagraph"/>
    <w:uiPriority w:val="34"/>
    <w:qFormat/>
    <w:locked/>
    <w:rsid w:val="008844BB"/>
    <w:rPr>
      <w:rFonts w:ascii="Times New Roman" w:eastAsia="Calibri" w:hAnsi="Times New Roman" w:cs="Times New Roman"/>
      <w:sz w:val="24"/>
      <w:szCs w:val="20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Ivovic</dc:creator>
  <cp:keywords/>
  <dc:description/>
  <cp:lastModifiedBy>Suzana Ivovic</cp:lastModifiedBy>
  <cp:revision>2</cp:revision>
  <dcterms:created xsi:type="dcterms:W3CDTF">2026-03-26T12:38:00Z</dcterms:created>
  <dcterms:modified xsi:type="dcterms:W3CDTF">2026-03-26T12:38:00Z</dcterms:modified>
</cp:coreProperties>
</file>